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61" w:rsidRPr="00394973" w:rsidRDefault="00F93A79" w:rsidP="00B23F08">
      <w:pPr>
        <w:pStyle w:val="Default"/>
        <w:rPr>
          <w:rFonts w:ascii="Arial" w:hAnsi="Arial" w:cs="Arial"/>
          <w:i/>
          <w:sz w:val="44"/>
          <w:szCs w:val="40"/>
          <w:lang w:val="de-DE"/>
        </w:rPr>
      </w:pPr>
      <w:bookmarkStart w:id="0" w:name="_GoBack"/>
      <w:bookmarkEnd w:id="0"/>
      <w:r>
        <w:rPr>
          <w:rFonts w:ascii="Arial" w:hAnsi="Arial" w:cs="Arial"/>
          <w:sz w:val="44"/>
          <w:szCs w:val="40"/>
          <w:lang w:val="de-DE"/>
        </w:rPr>
        <w:t>Schiffsschäden sinken weiter,</w:t>
      </w:r>
      <w:r w:rsidR="00226812">
        <w:rPr>
          <w:rFonts w:ascii="Arial" w:hAnsi="Arial" w:cs="Arial"/>
          <w:sz w:val="44"/>
          <w:szCs w:val="40"/>
          <w:lang w:val="de-DE"/>
        </w:rPr>
        <w:t xml:space="preserve"> </w:t>
      </w:r>
      <w:r w:rsidR="003F5D97" w:rsidRPr="00394973">
        <w:rPr>
          <w:rFonts w:ascii="Arial" w:hAnsi="Arial" w:cs="Arial"/>
          <w:sz w:val="44"/>
          <w:szCs w:val="40"/>
          <w:lang w:val="de-DE"/>
        </w:rPr>
        <w:t xml:space="preserve">aber wirtschaftlicher Druck, Cyberrisiken und Superstürme </w:t>
      </w:r>
      <w:r w:rsidR="008E0B2D">
        <w:rPr>
          <w:rFonts w:ascii="Arial" w:hAnsi="Arial" w:cs="Arial"/>
          <w:sz w:val="44"/>
          <w:szCs w:val="40"/>
          <w:lang w:val="de-DE"/>
        </w:rPr>
        <w:t>gefährden d</w:t>
      </w:r>
      <w:r>
        <w:rPr>
          <w:rFonts w:ascii="Arial" w:hAnsi="Arial" w:cs="Arial"/>
          <w:sz w:val="44"/>
          <w:szCs w:val="40"/>
          <w:lang w:val="de-DE"/>
        </w:rPr>
        <w:t xml:space="preserve">as </w:t>
      </w:r>
      <w:r w:rsidR="008E0B2D">
        <w:rPr>
          <w:rFonts w:ascii="Arial" w:hAnsi="Arial" w:cs="Arial"/>
          <w:sz w:val="44"/>
          <w:szCs w:val="40"/>
          <w:lang w:val="de-DE"/>
        </w:rPr>
        <w:t>Sicherheits</w:t>
      </w:r>
      <w:r>
        <w:rPr>
          <w:rFonts w:ascii="Arial" w:hAnsi="Arial" w:cs="Arial"/>
          <w:sz w:val="44"/>
          <w:szCs w:val="40"/>
          <w:lang w:val="de-DE"/>
        </w:rPr>
        <w:t>niveau</w:t>
      </w:r>
    </w:p>
    <w:p w:rsidR="00EC266C" w:rsidRPr="00394973" w:rsidRDefault="00EC266C" w:rsidP="00A6236A">
      <w:pPr>
        <w:rPr>
          <w:sz w:val="24"/>
          <w:lang w:val="de-DE"/>
        </w:rPr>
      </w:pPr>
    </w:p>
    <w:p w:rsidR="005214C8" w:rsidRPr="00394973" w:rsidRDefault="00CC1D78" w:rsidP="005214C8">
      <w:pPr>
        <w:pStyle w:val="Listenabsatz"/>
        <w:numPr>
          <w:ilvl w:val="0"/>
          <w:numId w:val="8"/>
        </w:numPr>
        <w:ind w:left="357" w:hanging="357"/>
        <w:contextualSpacing w:val="0"/>
        <w:rPr>
          <w:sz w:val="24"/>
          <w:lang w:val="de-DE"/>
        </w:rPr>
      </w:pPr>
      <w:r w:rsidRPr="00394973">
        <w:rPr>
          <w:sz w:val="24"/>
          <w:lang w:val="de-DE"/>
        </w:rPr>
        <w:t xml:space="preserve">85 Totalverluste </w:t>
      </w:r>
      <w:r w:rsidR="00226812">
        <w:rPr>
          <w:sz w:val="24"/>
          <w:lang w:val="de-DE"/>
        </w:rPr>
        <w:t>von</w:t>
      </w:r>
      <w:r w:rsidRPr="00394973">
        <w:rPr>
          <w:sz w:val="24"/>
          <w:lang w:val="de-DE"/>
        </w:rPr>
        <w:t xml:space="preserve"> großen Schiffen weltweit im Jahr 2015 – </w:t>
      </w:r>
      <w:r w:rsidR="00226812">
        <w:rPr>
          <w:sz w:val="24"/>
          <w:lang w:val="de-DE"/>
        </w:rPr>
        <w:t xml:space="preserve">ein Rückgang von </w:t>
      </w:r>
      <w:r w:rsidRPr="00394973">
        <w:rPr>
          <w:sz w:val="24"/>
          <w:lang w:val="de-DE"/>
        </w:rPr>
        <w:t xml:space="preserve">45 % innerhalb von </w:t>
      </w:r>
      <w:r w:rsidR="00226812">
        <w:rPr>
          <w:sz w:val="24"/>
          <w:lang w:val="de-DE"/>
        </w:rPr>
        <w:t>zehn</w:t>
      </w:r>
      <w:r w:rsidR="008E0B2D">
        <w:rPr>
          <w:sz w:val="24"/>
          <w:lang w:val="de-DE"/>
        </w:rPr>
        <w:t xml:space="preserve"> Jahren</w:t>
      </w:r>
      <w:r w:rsidRPr="00394973">
        <w:rPr>
          <w:sz w:val="24"/>
          <w:lang w:val="de-DE"/>
        </w:rPr>
        <w:t xml:space="preserve"> </w:t>
      </w:r>
    </w:p>
    <w:p w:rsidR="002E13CC" w:rsidRPr="00394973" w:rsidRDefault="005214C8" w:rsidP="005214C8">
      <w:pPr>
        <w:pStyle w:val="Listenabsatz"/>
        <w:numPr>
          <w:ilvl w:val="0"/>
          <w:numId w:val="8"/>
        </w:numPr>
        <w:ind w:left="357" w:hanging="357"/>
        <w:contextualSpacing w:val="0"/>
        <w:rPr>
          <w:sz w:val="24"/>
          <w:lang w:val="de-DE"/>
        </w:rPr>
      </w:pPr>
      <w:r w:rsidRPr="00394973">
        <w:rPr>
          <w:sz w:val="24"/>
          <w:lang w:val="de-DE"/>
        </w:rPr>
        <w:t>Regionale Unterschiede bleiben bestehen</w:t>
      </w:r>
      <w:r w:rsidR="00226812">
        <w:rPr>
          <w:sz w:val="24"/>
          <w:lang w:val="de-DE"/>
        </w:rPr>
        <w:t xml:space="preserve">: </w:t>
      </w:r>
      <w:r w:rsidR="00A723EC">
        <w:rPr>
          <w:sz w:val="24"/>
          <w:lang w:val="de-DE"/>
        </w:rPr>
        <w:t>I</w:t>
      </w:r>
      <w:r w:rsidR="00226812">
        <w:rPr>
          <w:sz w:val="24"/>
          <w:lang w:val="de-DE"/>
        </w:rPr>
        <w:t xml:space="preserve">n den Hochrisikogewässern </w:t>
      </w:r>
      <w:r w:rsidRPr="00394973">
        <w:rPr>
          <w:sz w:val="24"/>
          <w:lang w:val="de-DE"/>
        </w:rPr>
        <w:t>Südchinas und Südostasiens</w:t>
      </w:r>
      <w:r w:rsidR="00226812">
        <w:rPr>
          <w:sz w:val="24"/>
          <w:lang w:val="de-DE"/>
        </w:rPr>
        <w:t xml:space="preserve"> steigen die Schäden</w:t>
      </w:r>
    </w:p>
    <w:p w:rsidR="00A24B63" w:rsidRPr="00394973" w:rsidRDefault="0044415E" w:rsidP="00103E63">
      <w:pPr>
        <w:pStyle w:val="Listenabsatz"/>
        <w:numPr>
          <w:ilvl w:val="0"/>
          <w:numId w:val="8"/>
        </w:numPr>
        <w:ind w:left="357" w:hanging="357"/>
        <w:contextualSpacing w:val="0"/>
        <w:rPr>
          <w:sz w:val="24"/>
          <w:lang w:val="de-DE"/>
        </w:rPr>
      </w:pPr>
      <w:r w:rsidRPr="00394973">
        <w:rPr>
          <w:sz w:val="24"/>
          <w:lang w:val="de-DE"/>
        </w:rPr>
        <w:t xml:space="preserve">Zunehmender Kostendruck </w:t>
      </w:r>
      <w:r w:rsidR="00226812">
        <w:rPr>
          <w:sz w:val="24"/>
          <w:lang w:val="de-DE"/>
        </w:rPr>
        <w:t>in schwierigem Marktumfeld erhöht Sicherheitsbedenken</w:t>
      </w:r>
    </w:p>
    <w:p w:rsidR="00057F86" w:rsidRPr="00394973" w:rsidRDefault="0060608E" w:rsidP="003A6A66">
      <w:pPr>
        <w:pStyle w:val="Listenabsatz"/>
        <w:numPr>
          <w:ilvl w:val="0"/>
          <w:numId w:val="8"/>
        </w:numPr>
        <w:ind w:left="357" w:hanging="357"/>
        <w:contextualSpacing w:val="0"/>
        <w:rPr>
          <w:sz w:val="24"/>
          <w:lang w:val="de-DE"/>
        </w:rPr>
      </w:pPr>
      <w:r w:rsidRPr="00394973">
        <w:rPr>
          <w:sz w:val="24"/>
          <w:lang w:val="de-DE"/>
        </w:rPr>
        <w:t>Cyberrisiken</w:t>
      </w:r>
      <w:r w:rsidR="006E4E87">
        <w:rPr>
          <w:sz w:val="24"/>
          <w:lang w:val="de-DE"/>
        </w:rPr>
        <w:t>, Superstürme, die schwierige</w:t>
      </w:r>
      <w:r w:rsidRPr="00394973">
        <w:rPr>
          <w:sz w:val="24"/>
          <w:lang w:val="de-DE"/>
        </w:rPr>
        <w:t xml:space="preserve"> </w:t>
      </w:r>
      <w:r w:rsidR="006E4E87">
        <w:rPr>
          <w:sz w:val="24"/>
          <w:lang w:val="de-DE"/>
        </w:rPr>
        <w:t>Bergung von Megaschiffen und immer häufigere Unfälle</w:t>
      </w:r>
      <w:r w:rsidRPr="00394973">
        <w:rPr>
          <w:sz w:val="24"/>
          <w:lang w:val="de-DE"/>
        </w:rPr>
        <w:t xml:space="preserve"> in der Arktis verschärfen die Risikosituation</w:t>
      </w:r>
      <w:r w:rsidR="008E0B2D">
        <w:rPr>
          <w:sz w:val="24"/>
          <w:lang w:val="de-DE"/>
        </w:rPr>
        <w:br/>
      </w:r>
    </w:p>
    <w:p w:rsidR="00057F86" w:rsidRPr="00394973" w:rsidRDefault="00EC266C" w:rsidP="00F17FC7">
      <w:pPr>
        <w:spacing w:line="360" w:lineRule="auto"/>
        <w:rPr>
          <w:lang w:val="de-DE"/>
        </w:rPr>
      </w:pPr>
      <w:r w:rsidRPr="006E4E87">
        <w:rPr>
          <w:b/>
        </w:rPr>
        <w:t>London/New York/</w:t>
      </w:r>
      <w:proofErr w:type="spellStart"/>
      <w:r w:rsidRPr="006E4E87">
        <w:rPr>
          <w:b/>
        </w:rPr>
        <w:t>München</w:t>
      </w:r>
      <w:proofErr w:type="spellEnd"/>
      <w:r w:rsidRPr="006E4E87">
        <w:rPr>
          <w:b/>
        </w:rPr>
        <w:t xml:space="preserve">, 21. </w:t>
      </w:r>
      <w:proofErr w:type="spellStart"/>
      <w:r w:rsidRPr="006E4E87">
        <w:rPr>
          <w:b/>
        </w:rPr>
        <w:t>März</w:t>
      </w:r>
      <w:proofErr w:type="spellEnd"/>
      <w:r w:rsidRPr="006E4E87">
        <w:rPr>
          <w:b/>
        </w:rPr>
        <w:t xml:space="preserve"> 2016</w:t>
      </w:r>
      <w:r w:rsidRPr="008C0895">
        <w:t xml:space="preserve">. </w:t>
      </w:r>
      <w:r w:rsidR="00CD6438" w:rsidRPr="00CD6438">
        <w:rPr>
          <w:lang w:val="de-DE"/>
        </w:rPr>
        <w:t xml:space="preserve">Mit 85 </w:t>
      </w:r>
      <w:r w:rsidR="00CD6438">
        <w:rPr>
          <w:lang w:val="de-DE"/>
        </w:rPr>
        <w:t>Total</w:t>
      </w:r>
      <w:r w:rsidR="00947180">
        <w:rPr>
          <w:lang w:val="de-DE"/>
        </w:rPr>
        <w:t>verlusten</w:t>
      </w:r>
      <w:r w:rsidR="00CD6438">
        <w:rPr>
          <w:lang w:val="de-DE"/>
        </w:rPr>
        <w:t xml:space="preserve"> </w:t>
      </w:r>
      <w:r w:rsidR="00947180">
        <w:rPr>
          <w:lang w:val="de-DE"/>
        </w:rPr>
        <w:t>sind</w:t>
      </w:r>
      <w:r w:rsidR="00CD6438">
        <w:rPr>
          <w:lang w:val="de-DE"/>
        </w:rPr>
        <w:t xml:space="preserve"> Schäden in der Seeschifffahrt </w:t>
      </w:r>
      <w:r w:rsidR="00947180">
        <w:rPr>
          <w:lang w:val="de-DE"/>
        </w:rPr>
        <w:t xml:space="preserve">im Jahr 2015 weiterhin rückläufig, </w:t>
      </w:r>
      <w:r w:rsidRPr="00394973">
        <w:rPr>
          <w:lang w:val="de-DE"/>
        </w:rPr>
        <w:t xml:space="preserve"> so das Ergebnis der vierten, jährlich von </w:t>
      </w:r>
      <w:r w:rsidR="00947180">
        <w:rPr>
          <w:lang w:val="de-DE"/>
        </w:rPr>
        <w:t xml:space="preserve">der </w:t>
      </w:r>
      <w:r w:rsidRPr="00394973">
        <w:rPr>
          <w:lang w:val="de-DE"/>
        </w:rPr>
        <w:t xml:space="preserve">Allianz Global Corporate &amp; Specialty SE (AGCS) veröffentlichten </w:t>
      </w:r>
      <w:r w:rsidR="008E0B2D">
        <w:rPr>
          <w:lang w:val="de-DE"/>
        </w:rPr>
        <w:t xml:space="preserve">Studie </w:t>
      </w:r>
      <w:r w:rsidRPr="00394973">
        <w:rPr>
          <w:lang w:val="de-DE"/>
        </w:rPr>
        <w:t>„</w:t>
      </w:r>
      <w:proofErr w:type="spellStart"/>
      <w:r w:rsidRPr="00394973">
        <w:rPr>
          <w:lang w:val="de-DE"/>
        </w:rPr>
        <w:t>Safety</w:t>
      </w:r>
      <w:proofErr w:type="spellEnd"/>
      <w:r w:rsidRPr="00394973">
        <w:rPr>
          <w:lang w:val="de-DE"/>
        </w:rPr>
        <w:t xml:space="preserve"> </w:t>
      </w:r>
      <w:proofErr w:type="spellStart"/>
      <w:r w:rsidRPr="00394973">
        <w:rPr>
          <w:lang w:val="de-DE"/>
        </w:rPr>
        <w:t>and</w:t>
      </w:r>
      <w:proofErr w:type="spellEnd"/>
      <w:r w:rsidRPr="00394973">
        <w:rPr>
          <w:lang w:val="de-DE"/>
        </w:rPr>
        <w:t xml:space="preserve"> </w:t>
      </w:r>
      <w:proofErr w:type="spellStart"/>
      <w:r w:rsidRPr="00394973">
        <w:rPr>
          <w:lang w:val="de-DE"/>
        </w:rPr>
        <w:t>Shipping</w:t>
      </w:r>
      <w:proofErr w:type="spellEnd"/>
      <w:r w:rsidRPr="00394973">
        <w:rPr>
          <w:lang w:val="de-DE"/>
        </w:rPr>
        <w:t xml:space="preserve"> Review 2016“. Die Studie analysiert die gemeldeten Schäden bei Schiffen von über 100 Bruttoregistertonnen. </w:t>
      </w:r>
    </w:p>
    <w:p w:rsidR="00057F86" w:rsidRPr="00394973" w:rsidRDefault="00057F86" w:rsidP="00057F86">
      <w:pPr>
        <w:rPr>
          <w:rStyle w:val="berschrift3Zchn"/>
          <w:b w:val="0"/>
          <w:sz w:val="22"/>
          <w:szCs w:val="22"/>
          <w:lang w:val="de-DE"/>
        </w:rPr>
      </w:pPr>
    </w:p>
    <w:p w:rsidR="00057F86" w:rsidRPr="005648D2" w:rsidRDefault="003A6A66" w:rsidP="005648D2">
      <w:pPr>
        <w:spacing w:line="360" w:lineRule="auto"/>
        <w:rPr>
          <w:rFonts w:eastAsiaTheme="minorHAnsi"/>
          <w:lang w:val="de-DE"/>
        </w:rPr>
      </w:pPr>
      <w:r w:rsidRPr="00394973">
        <w:rPr>
          <w:rFonts w:eastAsiaTheme="minorHAnsi"/>
          <w:lang w:val="de-DE"/>
        </w:rPr>
        <w:t xml:space="preserve">Obwohl </w:t>
      </w:r>
      <w:r w:rsidR="005648D2">
        <w:rPr>
          <w:rFonts w:eastAsiaTheme="minorHAnsi"/>
          <w:lang w:val="de-DE"/>
        </w:rPr>
        <w:t>die Anzahl der Totalschäden</w:t>
      </w:r>
      <w:r w:rsidRPr="00394973">
        <w:rPr>
          <w:rFonts w:eastAsiaTheme="minorHAnsi"/>
          <w:lang w:val="de-DE"/>
        </w:rPr>
        <w:t xml:space="preserve"> </w:t>
      </w:r>
      <w:r w:rsidR="005648D2">
        <w:rPr>
          <w:rFonts w:eastAsiaTheme="minorHAnsi"/>
          <w:lang w:val="de-DE"/>
        </w:rPr>
        <w:t xml:space="preserve">im Jahresvergleich mit einem Rückgang von nur 3 Prozent (2014: 88 Totalschäden) quasi stabil geblieben ist, </w:t>
      </w:r>
      <w:r w:rsidRPr="00394973">
        <w:rPr>
          <w:rFonts w:eastAsiaTheme="minorHAnsi"/>
          <w:lang w:val="de-DE"/>
        </w:rPr>
        <w:t xml:space="preserve">war 2015 </w:t>
      </w:r>
      <w:r w:rsidR="005648D2">
        <w:rPr>
          <w:rFonts w:eastAsiaTheme="minorHAnsi"/>
          <w:lang w:val="de-DE"/>
        </w:rPr>
        <w:t xml:space="preserve">insgesamt </w:t>
      </w:r>
      <w:r w:rsidRPr="00394973">
        <w:rPr>
          <w:rFonts w:eastAsiaTheme="minorHAnsi"/>
          <w:lang w:val="de-DE"/>
        </w:rPr>
        <w:t xml:space="preserve">das sicherste Jahr für die Schifffahrt </w:t>
      </w:r>
      <w:r w:rsidR="005648D2">
        <w:rPr>
          <w:rFonts w:eastAsiaTheme="minorHAnsi"/>
          <w:lang w:val="de-DE"/>
        </w:rPr>
        <w:t>in den zurückliegenden zehn</w:t>
      </w:r>
      <w:r w:rsidRPr="00394973">
        <w:rPr>
          <w:rFonts w:eastAsiaTheme="minorHAnsi"/>
          <w:lang w:val="de-DE"/>
        </w:rPr>
        <w:t xml:space="preserve"> Jahren. Die </w:t>
      </w:r>
      <w:r w:rsidR="00A723EC">
        <w:rPr>
          <w:rFonts w:eastAsiaTheme="minorHAnsi"/>
          <w:lang w:val="de-DE"/>
        </w:rPr>
        <w:t xml:space="preserve">Zahl der </w:t>
      </w:r>
      <w:r w:rsidRPr="00394973">
        <w:rPr>
          <w:rFonts w:eastAsiaTheme="minorHAnsi"/>
          <w:lang w:val="de-DE"/>
        </w:rPr>
        <w:t xml:space="preserve">Großschäden </w:t>
      </w:r>
      <w:r w:rsidR="005648D2">
        <w:rPr>
          <w:rFonts w:eastAsiaTheme="minorHAnsi"/>
          <w:lang w:val="de-DE"/>
        </w:rPr>
        <w:t xml:space="preserve">in  der Schifffahrt </w:t>
      </w:r>
      <w:r w:rsidR="00A723EC">
        <w:rPr>
          <w:rFonts w:eastAsiaTheme="minorHAnsi"/>
          <w:lang w:val="de-DE"/>
        </w:rPr>
        <w:t xml:space="preserve">ist </w:t>
      </w:r>
      <w:r w:rsidR="005648D2">
        <w:rPr>
          <w:rFonts w:eastAsiaTheme="minorHAnsi"/>
          <w:lang w:val="de-DE"/>
        </w:rPr>
        <w:t>seit</w:t>
      </w:r>
      <w:r w:rsidRPr="00394973">
        <w:rPr>
          <w:rFonts w:eastAsiaTheme="minorHAnsi"/>
          <w:lang w:val="de-DE"/>
        </w:rPr>
        <w:t xml:space="preserve"> 2006 um 45 Prozent</w:t>
      </w:r>
      <w:r w:rsidR="005648D2">
        <w:rPr>
          <w:rFonts w:eastAsiaTheme="minorHAnsi"/>
          <w:lang w:val="de-DE"/>
        </w:rPr>
        <w:t xml:space="preserve"> </w:t>
      </w:r>
      <w:r w:rsidR="008E0B2D">
        <w:rPr>
          <w:rFonts w:eastAsiaTheme="minorHAnsi"/>
          <w:lang w:val="de-DE"/>
        </w:rPr>
        <w:t>gesunken</w:t>
      </w:r>
      <w:r w:rsidR="005648D2">
        <w:rPr>
          <w:rFonts w:eastAsiaTheme="minorHAnsi"/>
          <w:lang w:val="de-DE"/>
        </w:rPr>
        <w:t xml:space="preserve">. </w:t>
      </w:r>
      <w:r w:rsidR="008E0B2D">
        <w:rPr>
          <w:rFonts w:eastAsiaTheme="minorHAnsi"/>
          <w:lang w:val="de-DE"/>
        </w:rPr>
        <w:t>Dies ist auf ein</w:t>
      </w:r>
      <w:r w:rsidR="005648D2">
        <w:rPr>
          <w:rFonts w:eastAsiaTheme="minorHAnsi"/>
          <w:lang w:val="de-DE"/>
        </w:rPr>
        <w:t xml:space="preserve"> verbesserte</w:t>
      </w:r>
      <w:r w:rsidR="008E0B2D">
        <w:rPr>
          <w:rFonts w:eastAsiaTheme="minorHAnsi"/>
          <w:lang w:val="de-DE"/>
        </w:rPr>
        <w:t>s</w:t>
      </w:r>
      <w:r w:rsidR="005648D2">
        <w:rPr>
          <w:rFonts w:eastAsiaTheme="minorHAnsi"/>
          <w:lang w:val="de-DE"/>
        </w:rPr>
        <w:t xml:space="preserve"> Sicherheitsniveau und </w:t>
      </w:r>
      <w:r w:rsidR="008E0B2D">
        <w:rPr>
          <w:rFonts w:eastAsiaTheme="minorHAnsi"/>
          <w:lang w:val="de-DE"/>
        </w:rPr>
        <w:t xml:space="preserve">die </w:t>
      </w:r>
      <w:r w:rsidRPr="00394973">
        <w:rPr>
          <w:rFonts w:eastAsiaTheme="minorHAnsi"/>
          <w:lang w:val="de-DE"/>
        </w:rPr>
        <w:t>Selbstregulierung</w:t>
      </w:r>
      <w:r w:rsidR="005648D2">
        <w:rPr>
          <w:rFonts w:eastAsiaTheme="minorHAnsi"/>
          <w:lang w:val="de-DE"/>
        </w:rPr>
        <w:t xml:space="preserve"> der Branche</w:t>
      </w:r>
      <w:r w:rsidR="008E0B2D">
        <w:rPr>
          <w:rFonts w:eastAsiaTheme="minorHAnsi"/>
          <w:lang w:val="de-DE"/>
        </w:rPr>
        <w:t xml:space="preserve"> zurückzuführen</w:t>
      </w:r>
      <w:r w:rsidRPr="00394973">
        <w:rPr>
          <w:rFonts w:eastAsiaTheme="minorHAnsi"/>
          <w:lang w:val="de-DE"/>
        </w:rPr>
        <w:t xml:space="preserve">.  Es bestehen jedoch weiterhin Unterschiede nach Region und Schiffstyp. </w:t>
      </w:r>
    </w:p>
    <w:p w:rsidR="00057F86" w:rsidRPr="00394973" w:rsidRDefault="00057F86" w:rsidP="00057F86">
      <w:pPr>
        <w:rPr>
          <w:lang w:val="de-DE"/>
        </w:rPr>
      </w:pPr>
    </w:p>
    <w:p w:rsidR="003A6A66" w:rsidRPr="00394973" w:rsidRDefault="004F7CDC" w:rsidP="00A26FF2">
      <w:pPr>
        <w:spacing w:line="360" w:lineRule="auto"/>
        <w:rPr>
          <w:rFonts w:eastAsiaTheme="minorHAnsi"/>
          <w:lang w:val="de-DE"/>
        </w:rPr>
      </w:pPr>
      <w:r w:rsidRPr="00394973">
        <w:rPr>
          <w:rFonts w:eastAsiaTheme="minorHAnsi"/>
          <w:lang w:val="de-DE"/>
        </w:rPr>
        <w:t xml:space="preserve">Mehr als ein Viertel aller </w:t>
      </w:r>
      <w:r w:rsidR="008E0B2D">
        <w:rPr>
          <w:rFonts w:eastAsiaTheme="minorHAnsi"/>
          <w:lang w:val="de-DE"/>
        </w:rPr>
        <w:t xml:space="preserve">Schiffsverluste </w:t>
      </w:r>
      <w:r w:rsidRPr="00394973">
        <w:rPr>
          <w:rFonts w:eastAsiaTheme="minorHAnsi"/>
          <w:lang w:val="de-DE"/>
        </w:rPr>
        <w:t>ereigne</w:t>
      </w:r>
      <w:r w:rsidR="007A429C">
        <w:rPr>
          <w:rFonts w:eastAsiaTheme="minorHAnsi"/>
          <w:lang w:val="de-DE"/>
        </w:rPr>
        <w:t>te</w:t>
      </w:r>
      <w:r w:rsidRPr="00394973">
        <w:rPr>
          <w:rFonts w:eastAsiaTheme="minorHAnsi"/>
          <w:lang w:val="de-DE"/>
        </w:rPr>
        <w:t>n sich</w:t>
      </w:r>
      <w:r w:rsidR="007A429C">
        <w:rPr>
          <w:rFonts w:eastAsiaTheme="minorHAnsi"/>
          <w:lang w:val="de-DE"/>
        </w:rPr>
        <w:t xml:space="preserve"> 2015 </w:t>
      </w:r>
      <w:r w:rsidRPr="00394973">
        <w:rPr>
          <w:rFonts w:eastAsiaTheme="minorHAnsi"/>
          <w:lang w:val="de-DE"/>
        </w:rPr>
        <w:t xml:space="preserve">in </w:t>
      </w:r>
      <w:r w:rsidR="008E0B2D">
        <w:rPr>
          <w:rFonts w:eastAsiaTheme="minorHAnsi"/>
          <w:lang w:val="de-DE"/>
        </w:rPr>
        <w:t xml:space="preserve">den Meeren </w:t>
      </w:r>
      <w:r w:rsidRPr="00394973">
        <w:rPr>
          <w:rFonts w:eastAsiaTheme="minorHAnsi"/>
          <w:lang w:val="de-DE"/>
        </w:rPr>
        <w:t>Südchina</w:t>
      </w:r>
      <w:r w:rsidR="008E0B2D">
        <w:rPr>
          <w:rFonts w:eastAsiaTheme="minorHAnsi"/>
          <w:lang w:val="de-DE"/>
        </w:rPr>
        <w:t>s</w:t>
      </w:r>
      <w:r w:rsidRPr="00394973">
        <w:rPr>
          <w:rFonts w:eastAsiaTheme="minorHAnsi"/>
          <w:lang w:val="de-DE"/>
        </w:rPr>
        <w:t>, Indochina</w:t>
      </w:r>
      <w:r w:rsidR="008E0B2D">
        <w:rPr>
          <w:rFonts w:eastAsiaTheme="minorHAnsi"/>
          <w:lang w:val="de-DE"/>
        </w:rPr>
        <w:t>s</w:t>
      </w:r>
      <w:r w:rsidRPr="00394973">
        <w:rPr>
          <w:rFonts w:eastAsiaTheme="minorHAnsi"/>
          <w:lang w:val="de-DE"/>
        </w:rPr>
        <w:t>, Indonesien</w:t>
      </w:r>
      <w:r w:rsidR="008E0B2D">
        <w:rPr>
          <w:rFonts w:eastAsiaTheme="minorHAnsi"/>
          <w:lang w:val="de-DE"/>
        </w:rPr>
        <w:t>s</w:t>
      </w:r>
      <w:r w:rsidRPr="00394973">
        <w:rPr>
          <w:rFonts w:eastAsiaTheme="minorHAnsi"/>
          <w:lang w:val="de-DE"/>
        </w:rPr>
        <w:t xml:space="preserve"> und de</w:t>
      </w:r>
      <w:r w:rsidR="008E0B2D">
        <w:rPr>
          <w:rFonts w:eastAsiaTheme="minorHAnsi"/>
          <w:lang w:val="de-DE"/>
        </w:rPr>
        <w:t>r</w:t>
      </w:r>
      <w:r w:rsidRPr="00394973">
        <w:rPr>
          <w:rFonts w:eastAsiaTheme="minorHAnsi"/>
          <w:lang w:val="de-DE"/>
        </w:rPr>
        <w:t xml:space="preserve"> Philippinen (22 Schiffe). Im Gegensatz zu anderen Regionen stieg </w:t>
      </w:r>
      <w:r w:rsidR="008E0B2D">
        <w:rPr>
          <w:rFonts w:eastAsiaTheme="minorHAnsi"/>
          <w:lang w:val="de-DE"/>
        </w:rPr>
        <w:t xml:space="preserve">in diesen Gewässern </w:t>
      </w:r>
      <w:r w:rsidRPr="00394973">
        <w:rPr>
          <w:rFonts w:eastAsiaTheme="minorHAnsi"/>
          <w:lang w:val="de-DE"/>
        </w:rPr>
        <w:t xml:space="preserve">die Zahl der Schäden im Vergleich zum Vorjahr an. </w:t>
      </w:r>
    </w:p>
    <w:p w:rsidR="00057F86" w:rsidRPr="00394973" w:rsidRDefault="00057F86" w:rsidP="00057F86">
      <w:pPr>
        <w:rPr>
          <w:rFonts w:eastAsiaTheme="minorHAnsi"/>
          <w:lang w:val="de-DE"/>
        </w:rPr>
      </w:pPr>
    </w:p>
    <w:p w:rsidR="003A6A66" w:rsidRPr="00394973" w:rsidRDefault="003A6A66" w:rsidP="00A26FF2">
      <w:pPr>
        <w:spacing w:line="360" w:lineRule="auto"/>
        <w:rPr>
          <w:rFonts w:eastAsiaTheme="minorHAnsi"/>
          <w:lang w:val="de-DE"/>
        </w:rPr>
      </w:pPr>
      <w:r w:rsidRPr="00394973">
        <w:rPr>
          <w:rFonts w:eastAsiaTheme="minorHAnsi"/>
          <w:lang w:val="de-DE"/>
        </w:rPr>
        <w:t xml:space="preserve">Auf Fracht- und Fischereischiffe entfielen über 60 Prozent der weltweiten Schiffsverluste, wobei Schäden bei Frachtschiffen zum ersten Mal seit drei Jahren </w:t>
      </w:r>
      <w:r w:rsidR="007A429C">
        <w:rPr>
          <w:rFonts w:eastAsiaTheme="minorHAnsi"/>
          <w:lang w:val="de-DE"/>
        </w:rPr>
        <w:t xml:space="preserve">wieder zugenommen </w:t>
      </w:r>
      <w:r w:rsidR="007A429C">
        <w:rPr>
          <w:rFonts w:eastAsiaTheme="minorHAnsi"/>
          <w:lang w:val="de-DE"/>
        </w:rPr>
        <w:lastRenderedPageBreak/>
        <w:t>haben.</w:t>
      </w:r>
      <w:r w:rsidR="008E0B2D">
        <w:rPr>
          <w:rFonts w:eastAsiaTheme="minorHAnsi"/>
          <w:lang w:val="de-DE"/>
        </w:rPr>
        <w:t xml:space="preserve"> </w:t>
      </w:r>
      <w:r w:rsidR="007A429C">
        <w:rPr>
          <w:rFonts w:eastAsiaTheme="minorHAnsi"/>
          <w:lang w:val="de-DE"/>
        </w:rPr>
        <w:t>Dreiviertel der Totalschäden sind auf</w:t>
      </w:r>
      <w:r w:rsidRPr="00394973">
        <w:rPr>
          <w:rFonts w:eastAsiaTheme="minorHAnsi"/>
          <w:lang w:val="de-DE"/>
        </w:rPr>
        <w:t xml:space="preserve"> Schiffsuntergang</w:t>
      </w:r>
      <w:r w:rsidR="007A429C">
        <w:rPr>
          <w:rFonts w:eastAsiaTheme="minorHAnsi"/>
          <w:lang w:val="de-DE"/>
        </w:rPr>
        <w:t xml:space="preserve"> zurückzuführen, meist in Folge von Unwettern. </w:t>
      </w:r>
    </w:p>
    <w:p w:rsidR="00153EA3" w:rsidRPr="00394973" w:rsidRDefault="00153EA3" w:rsidP="00057F86">
      <w:pPr>
        <w:rPr>
          <w:rFonts w:eastAsiaTheme="minorHAnsi"/>
          <w:lang w:val="de-DE"/>
        </w:rPr>
      </w:pPr>
    </w:p>
    <w:p w:rsidR="003A6A66" w:rsidRPr="00394973" w:rsidRDefault="00D77B5D" w:rsidP="0014067D">
      <w:pPr>
        <w:spacing w:line="360" w:lineRule="auto"/>
        <w:rPr>
          <w:rFonts w:eastAsiaTheme="minorHAnsi"/>
          <w:lang w:val="de-DE"/>
        </w:rPr>
      </w:pPr>
      <w:r w:rsidRPr="00394973">
        <w:rPr>
          <w:rFonts w:eastAsiaTheme="minorHAnsi"/>
          <w:lang w:val="de-DE"/>
        </w:rPr>
        <w:t xml:space="preserve">2015 </w:t>
      </w:r>
      <w:r w:rsidR="00A723EC">
        <w:rPr>
          <w:rFonts w:eastAsiaTheme="minorHAnsi"/>
          <w:lang w:val="de-DE"/>
        </w:rPr>
        <w:t xml:space="preserve">wurden </w:t>
      </w:r>
      <w:r w:rsidRPr="00394973">
        <w:rPr>
          <w:rFonts w:eastAsiaTheme="minorHAnsi"/>
          <w:lang w:val="de-DE"/>
        </w:rPr>
        <w:t>weltweit insgesamt 2.687 Schiffsunglücke gemeldet (einschließlich der Totalverluste), dies entspricht einem Rückgang von 4 Prozent</w:t>
      </w:r>
      <w:r w:rsidR="007A429C">
        <w:rPr>
          <w:rFonts w:eastAsiaTheme="minorHAnsi"/>
          <w:lang w:val="de-DE"/>
        </w:rPr>
        <w:t xml:space="preserve">. </w:t>
      </w:r>
      <w:r w:rsidR="00A723EC">
        <w:rPr>
          <w:rFonts w:eastAsiaTheme="minorHAnsi"/>
          <w:lang w:val="de-DE"/>
        </w:rPr>
        <w:t xml:space="preserve">Sie </w:t>
      </w:r>
      <w:r w:rsidR="007A429C">
        <w:rPr>
          <w:rFonts w:eastAsiaTheme="minorHAnsi"/>
          <w:lang w:val="de-DE"/>
        </w:rPr>
        <w:t xml:space="preserve">ereignen sich </w:t>
      </w:r>
      <w:r w:rsidR="00A723EC">
        <w:rPr>
          <w:rFonts w:eastAsiaTheme="minorHAnsi"/>
          <w:lang w:val="de-DE"/>
        </w:rPr>
        <w:t xml:space="preserve">an allen Tagen </w:t>
      </w:r>
      <w:r w:rsidR="007A429C">
        <w:rPr>
          <w:rFonts w:eastAsiaTheme="minorHAnsi"/>
          <w:lang w:val="de-DE"/>
        </w:rPr>
        <w:t>der Woche, doch  besonders häufig an</w:t>
      </w:r>
      <w:r w:rsidRPr="00394973">
        <w:rPr>
          <w:rFonts w:eastAsiaTheme="minorHAnsi"/>
          <w:lang w:val="de-DE"/>
        </w:rPr>
        <w:t xml:space="preserve"> Donnerstagen</w:t>
      </w:r>
      <w:r w:rsidR="007A429C">
        <w:rPr>
          <w:rFonts w:eastAsiaTheme="minorHAnsi"/>
          <w:lang w:val="de-DE"/>
        </w:rPr>
        <w:t>, während Samstage offenbar am wenigsten unglücksträchtig sind.</w:t>
      </w:r>
      <w:r w:rsidRPr="00394973">
        <w:rPr>
          <w:rFonts w:eastAsiaTheme="minorHAnsi"/>
          <w:lang w:val="de-DE"/>
        </w:rPr>
        <w:t xml:space="preserve"> </w:t>
      </w:r>
      <w:r w:rsidR="008E0B2D">
        <w:rPr>
          <w:rFonts w:eastAsiaTheme="minorHAnsi"/>
          <w:lang w:val="de-DE"/>
        </w:rPr>
        <w:t>Das  östliche</w:t>
      </w:r>
      <w:r w:rsidRPr="00394973">
        <w:rPr>
          <w:rFonts w:eastAsiaTheme="minorHAnsi"/>
          <w:lang w:val="de-DE"/>
        </w:rPr>
        <w:t xml:space="preserve"> Mittelmeer und </w:t>
      </w:r>
      <w:r w:rsidR="008E0B2D">
        <w:rPr>
          <w:rFonts w:eastAsiaTheme="minorHAnsi"/>
          <w:lang w:val="de-DE"/>
        </w:rPr>
        <w:t>das Schwarze</w:t>
      </w:r>
      <w:r w:rsidRPr="00394973">
        <w:rPr>
          <w:rFonts w:eastAsiaTheme="minorHAnsi"/>
          <w:lang w:val="de-DE"/>
        </w:rPr>
        <w:t xml:space="preserve"> Meer </w:t>
      </w:r>
      <w:r w:rsidR="008E0B2D">
        <w:rPr>
          <w:rFonts w:eastAsiaTheme="minorHAnsi"/>
          <w:lang w:val="de-DE"/>
        </w:rPr>
        <w:t>sind</w:t>
      </w:r>
      <w:r w:rsidRPr="00394973">
        <w:rPr>
          <w:rFonts w:eastAsiaTheme="minorHAnsi"/>
          <w:lang w:val="de-DE"/>
        </w:rPr>
        <w:t xml:space="preserve"> mit 484 Vorfällen </w:t>
      </w:r>
      <w:r w:rsidR="008E0B2D">
        <w:rPr>
          <w:rFonts w:eastAsiaTheme="minorHAnsi"/>
          <w:lang w:val="de-DE"/>
        </w:rPr>
        <w:t>d</w:t>
      </w:r>
      <w:r w:rsidRPr="00394973">
        <w:rPr>
          <w:rFonts w:eastAsiaTheme="minorHAnsi"/>
          <w:lang w:val="de-DE"/>
        </w:rPr>
        <w:t xml:space="preserve">er aktuelle Unfall-Hotspot. </w:t>
      </w:r>
    </w:p>
    <w:p w:rsidR="00F645A1" w:rsidRPr="00394973" w:rsidRDefault="00F645A1" w:rsidP="00057F86">
      <w:pPr>
        <w:rPr>
          <w:highlight w:val="yellow"/>
          <w:lang w:val="de-DE"/>
        </w:rPr>
      </w:pPr>
    </w:p>
    <w:p w:rsidR="00555DB7" w:rsidRPr="003D2E7A" w:rsidRDefault="00990740" w:rsidP="003D2E7A">
      <w:pPr>
        <w:spacing w:line="360" w:lineRule="auto"/>
        <w:rPr>
          <w:rFonts w:cs="Arial"/>
          <w:b/>
          <w:i/>
          <w:lang w:val="de-DE" w:eastAsia="de-DE"/>
        </w:rPr>
      </w:pPr>
      <w:r w:rsidRPr="00EE2894">
        <w:rPr>
          <w:rStyle w:val="Hervorhebung"/>
          <w:b/>
          <w:i w:val="0"/>
          <w:lang w:val="de-DE"/>
        </w:rPr>
        <w:t>Keine Kompromisse auf Kosten der Sicherheit</w:t>
      </w:r>
    </w:p>
    <w:p w:rsidR="003A6A66" w:rsidRPr="00394973" w:rsidRDefault="003A6A66" w:rsidP="00E85851">
      <w:pPr>
        <w:spacing w:line="360" w:lineRule="auto"/>
        <w:rPr>
          <w:lang w:val="de-DE"/>
        </w:rPr>
      </w:pPr>
      <w:r w:rsidRPr="00394973">
        <w:rPr>
          <w:lang w:val="de-DE"/>
        </w:rPr>
        <w:t xml:space="preserve">Während der langfristige Abwärtstrend bei den Schiffsverlusten ermutigend ist, </w:t>
      </w:r>
      <w:r w:rsidR="00D02DE6">
        <w:rPr>
          <w:lang w:val="de-DE"/>
        </w:rPr>
        <w:t>drohen andere gegenläufige Entwicklungen das erreichte Sicherheitsniveau zu gefährden: Die</w:t>
      </w:r>
      <w:r w:rsidR="007A429C">
        <w:rPr>
          <w:lang w:val="de-DE"/>
        </w:rPr>
        <w:t xml:space="preserve"> schwache Kon</w:t>
      </w:r>
      <w:r w:rsidR="00D02DE6">
        <w:rPr>
          <w:lang w:val="de-DE"/>
        </w:rPr>
        <w:t xml:space="preserve">junktur, </w:t>
      </w:r>
      <w:r w:rsidRPr="00394973">
        <w:rPr>
          <w:lang w:val="de-DE"/>
        </w:rPr>
        <w:t xml:space="preserve">die niedrigen Rohstoffpreise und ein Überangebot </w:t>
      </w:r>
      <w:r w:rsidR="007A429C">
        <w:rPr>
          <w:lang w:val="de-DE"/>
        </w:rPr>
        <w:t>an</w:t>
      </w:r>
      <w:r w:rsidRPr="00394973">
        <w:rPr>
          <w:lang w:val="de-DE"/>
        </w:rPr>
        <w:t xml:space="preserve"> Schiffen </w:t>
      </w:r>
      <w:r w:rsidR="00D02DE6">
        <w:rPr>
          <w:lang w:val="de-DE"/>
        </w:rPr>
        <w:t xml:space="preserve">üben </w:t>
      </w:r>
      <w:r w:rsidRPr="00394973">
        <w:rPr>
          <w:lang w:val="de-DE"/>
        </w:rPr>
        <w:t xml:space="preserve">erheblichen Druck auf die Kosten aus und erhöhen somit die Sicherheitsbedenken. Die AGCS beobachtete im letzten Jahr einen Anstieg der </w:t>
      </w:r>
      <w:r w:rsidR="007A429C">
        <w:rPr>
          <w:lang w:val="de-DE"/>
        </w:rPr>
        <w:t>Frequenzschäden</w:t>
      </w:r>
      <w:r w:rsidRPr="00394973">
        <w:rPr>
          <w:lang w:val="de-DE"/>
        </w:rPr>
        <w:t xml:space="preserve">, der </w:t>
      </w:r>
      <w:r w:rsidR="00D02DE6">
        <w:rPr>
          <w:lang w:val="de-DE"/>
        </w:rPr>
        <w:t>sich teilweise auf das aktuelle Umfeld in der Schifffahrt zurückführen lässt.</w:t>
      </w:r>
    </w:p>
    <w:p w:rsidR="00CB1378" w:rsidRPr="00394973" w:rsidRDefault="00CB1378" w:rsidP="00E85851">
      <w:pPr>
        <w:spacing w:line="360" w:lineRule="auto"/>
        <w:rPr>
          <w:lang w:val="de-DE"/>
        </w:rPr>
      </w:pPr>
    </w:p>
    <w:p w:rsidR="003A6A66" w:rsidRPr="00394973" w:rsidRDefault="00D02DE6" w:rsidP="00E85851">
      <w:pPr>
        <w:spacing w:line="360" w:lineRule="auto"/>
        <w:rPr>
          <w:rFonts w:eastAsiaTheme="minorHAnsi"/>
          <w:lang w:val="de-DE"/>
        </w:rPr>
      </w:pPr>
      <w:r>
        <w:rPr>
          <w:rFonts w:eastAsiaTheme="minorHAnsi"/>
          <w:lang w:val="de-DE"/>
        </w:rPr>
        <w:t>„</w:t>
      </w:r>
      <w:r w:rsidR="00FF79CC" w:rsidRPr="00394973">
        <w:rPr>
          <w:rFonts w:eastAsiaTheme="minorHAnsi"/>
          <w:lang w:val="de-DE"/>
        </w:rPr>
        <w:t xml:space="preserve">Die </w:t>
      </w:r>
      <w:r>
        <w:rPr>
          <w:rFonts w:eastAsiaTheme="minorHAnsi"/>
          <w:lang w:val="de-DE"/>
        </w:rPr>
        <w:t xml:space="preserve">schwache wirtschaftliche Entwicklung </w:t>
      </w:r>
      <w:r w:rsidR="008E0B2D">
        <w:rPr>
          <w:rFonts w:eastAsiaTheme="minorHAnsi"/>
          <w:lang w:val="de-DE"/>
        </w:rPr>
        <w:t>weltweit zieht auch die</w:t>
      </w:r>
      <w:r w:rsidR="00FF79CC" w:rsidRPr="00394973">
        <w:rPr>
          <w:rFonts w:eastAsiaTheme="minorHAnsi"/>
          <w:lang w:val="de-DE"/>
        </w:rPr>
        <w:t xml:space="preserve"> Schifffahrt </w:t>
      </w:r>
      <w:r w:rsidR="008E0B2D">
        <w:rPr>
          <w:rFonts w:eastAsiaTheme="minorHAnsi"/>
          <w:lang w:val="de-DE"/>
        </w:rPr>
        <w:t>in Mitleidenschaft – und das wirkt sich negativ auf die Sicherheit aus</w:t>
      </w:r>
      <w:r w:rsidR="00FF79CC" w:rsidRPr="00394973">
        <w:rPr>
          <w:rFonts w:eastAsiaTheme="minorHAnsi"/>
          <w:lang w:val="de-DE"/>
        </w:rPr>
        <w:t>", sagt Kapitän Rahul Khanna, Global Head of</w:t>
      </w:r>
      <w:r>
        <w:rPr>
          <w:rFonts w:eastAsiaTheme="minorHAnsi"/>
          <w:lang w:val="de-DE"/>
        </w:rPr>
        <w:t xml:space="preserve"> Marine </w:t>
      </w:r>
      <w:proofErr w:type="spellStart"/>
      <w:r>
        <w:rPr>
          <w:rFonts w:eastAsiaTheme="minorHAnsi"/>
          <w:lang w:val="de-DE"/>
        </w:rPr>
        <w:t>Risk</w:t>
      </w:r>
      <w:proofErr w:type="spellEnd"/>
      <w:r>
        <w:rPr>
          <w:rFonts w:eastAsiaTheme="minorHAnsi"/>
          <w:lang w:val="de-DE"/>
        </w:rPr>
        <w:t xml:space="preserve"> Consulting, AGCS. „</w:t>
      </w:r>
      <w:r w:rsidR="00FF79CC" w:rsidRPr="00394973">
        <w:rPr>
          <w:rFonts w:eastAsiaTheme="minorHAnsi"/>
          <w:lang w:val="de-DE"/>
        </w:rPr>
        <w:t xml:space="preserve">Viele Sparten, wie Fracht, Container und Offshore, sind bereits gefährdet und </w:t>
      </w:r>
      <w:r w:rsidR="008E0B2D">
        <w:rPr>
          <w:rFonts w:eastAsiaTheme="minorHAnsi"/>
          <w:lang w:val="de-DE"/>
        </w:rPr>
        <w:t xml:space="preserve">jede weitere </w:t>
      </w:r>
      <w:r w:rsidR="00FF79CC" w:rsidRPr="00394973">
        <w:rPr>
          <w:rFonts w:eastAsiaTheme="minorHAnsi"/>
          <w:lang w:val="de-DE"/>
        </w:rPr>
        <w:t xml:space="preserve">Verschlechterung der Sicherheitsstandards </w:t>
      </w:r>
      <w:r w:rsidR="008E0B2D">
        <w:rPr>
          <w:rFonts w:eastAsiaTheme="minorHAnsi"/>
          <w:lang w:val="de-DE"/>
        </w:rPr>
        <w:t>gäbe Anlass zur Sorge</w:t>
      </w:r>
      <w:r w:rsidR="00FF79CC" w:rsidRPr="00394973">
        <w:rPr>
          <w:rFonts w:eastAsiaTheme="minorHAnsi"/>
          <w:lang w:val="de-DE"/>
        </w:rPr>
        <w:t>." AGCS-Experten warnen</w:t>
      </w:r>
      <w:r w:rsidR="009B55D5">
        <w:rPr>
          <w:rFonts w:eastAsiaTheme="minorHAnsi"/>
          <w:lang w:val="de-DE"/>
        </w:rPr>
        <w:t xml:space="preserve"> </w:t>
      </w:r>
      <w:r w:rsidR="00990740">
        <w:rPr>
          <w:rFonts w:eastAsiaTheme="minorHAnsi"/>
          <w:lang w:val="de-DE"/>
        </w:rPr>
        <w:t>vor einer</w:t>
      </w:r>
      <w:r w:rsidR="009B55D5">
        <w:rPr>
          <w:rFonts w:eastAsiaTheme="minorHAnsi"/>
          <w:lang w:val="de-DE"/>
        </w:rPr>
        <w:t xml:space="preserve"> </w:t>
      </w:r>
      <w:r w:rsidR="00990740">
        <w:rPr>
          <w:rFonts w:eastAsiaTheme="minorHAnsi"/>
          <w:lang w:val="de-DE"/>
        </w:rPr>
        <w:t xml:space="preserve">aufschiebenden </w:t>
      </w:r>
      <w:r w:rsidR="00FF79CC" w:rsidRPr="00394973">
        <w:rPr>
          <w:rFonts w:eastAsiaTheme="minorHAnsi"/>
          <w:lang w:val="de-DE"/>
        </w:rPr>
        <w:t>Sicherheitsmentalität</w:t>
      </w:r>
      <w:r w:rsidR="00990740">
        <w:rPr>
          <w:rFonts w:eastAsiaTheme="minorHAnsi"/>
          <w:lang w:val="de-DE"/>
        </w:rPr>
        <w:t>, die notwenige Investitionen auf vermeintlich bessere Zeiten vertagt</w:t>
      </w:r>
      <w:r w:rsidR="00FF79CC" w:rsidRPr="00394973">
        <w:rPr>
          <w:rFonts w:eastAsiaTheme="minorHAnsi"/>
          <w:lang w:val="de-DE"/>
        </w:rPr>
        <w:t xml:space="preserve">. </w:t>
      </w:r>
      <w:r w:rsidR="009B55D5">
        <w:rPr>
          <w:rFonts w:eastAsiaTheme="minorHAnsi"/>
          <w:lang w:val="de-DE"/>
        </w:rPr>
        <w:t xml:space="preserve">Dafür gibt es jedoch bereits erste Anzeichen: </w:t>
      </w:r>
      <w:r w:rsidR="00FF79CC" w:rsidRPr="00394973">
        <w:rPr>
          <w:rFonts w:eastAsiaTheme="minorHAnsi"/>
          <w:lang w:val="de-DE"/>
        </w:rPr>
        <w:t xml:space="preserve">Einige Reeder haben die Instandhaltung auf die größtmöglichen Intervalle ausgedehnt, andere </w:t>
      </w:r>
      <w:r w:rsidR="00A723EC">
        <w:rPr>
          <w:rFonts w:eastAsiaTheme="minorHAnsi"/>
          <w:lang w:val="de-DE"/>
        </w:rPr>
        <w:t xml:space="preserve">legen </w:t>
      </w:r>
      <w:r w:rsidR="00FF79CC" w:rsidRPr="00394973">
        <w:rPr>
          <w:rFonts w:eastAsiaTheme="minorHAnsi"/>
          <w:lang w:val="de-DE"/>
        </w:rPr>
        <w:t xml:space="preserve">Schiffe still. </w:t>
      </w:r>
      <w:r w:rsidR="009B55D5">
        <w:rPr>
          <w:rFonts w:eastAsiaTheme="minorHAnsi"/>
          <w:lang w:val="de-DE"/>
        </w:rPr>
        <w:t>„</w:t>
      </w:r>
      <w:r w:rsidR="008E0B2D">
        <w:rPr>
          <w:rFonts w:eastAsiaTheme="minorHAnsi"/>
          <w:lang w:val="de-DE"/>
        </w:rPr>
        <w:t xml:space="preserve">Die </w:t>
      </w:r>
      <w:r w:rsidR="00FF79CC" w:rsidRPr="00394973">
        <w:rPr>
          <w:rFonts w:eastAsiaTheme="minorHAnsi"/>
          <w:lang w:val="de-DE"/>
        </w:rPr>
        <w:t xml:space="preserve">Reaktivierung </w:t>
      </w:r>
      <w:r w:rsidR="008E0B2D">
        <w:rPr>
          <w:rFonts w:eastAsiaTheme="minorHAnsi"/>
          <w:lang w:val="de-DE"/>
        </w:rPr>
        <w:t xml:space="preserve">stillgelegter </w:t>
      </w:r>
      <w:r w:rsidR="00FF79CC" w:rsidRPr="00394973">
        <w:rPr>
          <w:rFonts w:eastAsiaTheme="minorHAnsi"/>
          <w:lang w:val="de-DE"/>
        </w:rPr>
        <w:t xml:space="preserve">Schiffe in einem Markt, der sich technologisch weiterentwickelt hat, kann sich äußerst schwierig gestalten. </w:t>
      </w:r>
      <w:r w:rsidR="009B55D5">
        <w:rPr>
          <w:rFonts w:eastAsiaTheme="minorHAnsi"/>
          <w:lang w:val="de-DE"/>
        </w:rPr>
        <w:t>Es müssen standardisierte</w:t>
      </w:r>
      <w:r w:rsidR="00FF79CC" w:rsidRPr="00394973">
        <w:rPr>
          <w:rFonts w:eastAsiaTheme="minorHAnsi"/>
          <w:lang w:val="de-DE"/>
        </w:rPr>
        <w:t xml:space="preserve"> Stilllegungsverfahren</w:t>
      </w:r>
      <w:r w:rsidR="009B55D5">
        <w:rPr>
          <w:rFonts w:eastAsiaTheme="minorHAnsi"/>
          <w:lang w:val="de-DE"/>
        </w:rPr>
        <w:t xml:space="preserve"> entwickelt werden</w:t>
      </w:r>
      <w:r w:rsidR="00FF79CC" w:rsidRPr="00394973">
        <w:rPr>
          <w:rFonts w:eastAsiaTheme="minorHAnsi"/>
          <w:lang w:val="de-DE"/>
        </w:rPr>
        <w:t xml:space="preserve">", </w:t>
      </w:r>
      <w:r w:rsidR="008E0B2D">
        <w:rPr>
          <w:rFonts w:eastAsiaTheme="minorHAnsi"/>
          <w:lang w:val="de-DE"/>
        </w:rPr>
        <w:t>fordert</w:t>
      </w:r>
      <w:r w:rsidR="00FF79CC" w:rsidRPr="00394973">
        <w:rPr>
          <w:rFonts w:eastAsiaTheme="minorHAnsi"/>
          <w:lang w:val="de-DE"/>
        </w:rPr>
        <w:t xml:space="preserve"> Kapitän </w:t>
      </w:r>
      <w:proofErr w:type="spellStart"/>
      <w:r w:rsidR="00FF79CC" w:rsidRPr="00394973">
        <w:rPr>
          <w:rFonts w:eastAsiaTheme="minorHAnsi"/>
          <w:lang w:val="de-DE"/>
        </w:rPr>
        <w:t>Jarek</w:t>
      </w:r>
      <w:proofErr w:type="spellEnd"/>
      <w:r w:rsidR="00FF79CC" w:rsidRPr="00394973">
        <w:rPr>
          <w:rFonts w:eastAsiaTheme="minorHAnsi"/>
          <w:lang w:val="de-DE"/>
        </w:rPr>
        <w:t xml:space="preserve"> </w:t>
      </w:r>
      <w:proofErr w:type="spellStart"/>
      <w:r w:rsidR="00FF79CC" w:rsidRPr="00394973">
        <w:rPr>
          <w:rFonts w:eastAsiaTheme="minorHAnsi"/>
          <w:lang w:val="de-DE"/>
        </w:rPr>
        <w:t>Klimczak</w:t>
      </w:r>
      <w:proofErr w:type="spellEnd"/>
      <w:r w:rsidR="00FF79CC" w:rsidRPr="00394973">
        <w:rPr>
          <w:rFonts w:eastAsiaTheme="minorHAnsi"/>
          <w:lang w:val="de-DE"/>
        </w:rPr>
        <w:t xml:space="preserve">, Senior Marine </w:t>
      </w:r>
      <w:proofErr w:type="spellStart"/>
      <w:r w:rsidR="00FF79CC" w:rsidRPr="00394973">
        <w:rPr>
          <w:rFonts w:eastAsiaTheme="minorHAnsi"/>
          <w:lang w:val="de-DE"/>
        </w:rPr>
        <w:t>Risk</w:t>
      </w:r>
      <w:proofErr w:type="spellEnd"/>
      <w:r w:rsidR="00FF79CC" w:rsidRPr="00394973">
        <w:rPr>
          <w:rFonts w:eastAsiaTheme="minorHAnsi"/>
          <w:lang w:val="de-DE"/>
        </w:rPr>
        <w:t xml:space="preserve"> Consultant, AGCS.</w:t>
      </w:r>
    </w:p>
    <w:p w:rsidR="00543A87" w:rsidRPr="00394973" w:rsidRDefault="00543A87" w:rsidP="00543A87">
      <w:pPr>
        <w:rPr>
          <w:rFonts w:eastAsiaTheme="minorHAnsi" w:cs="Arial"/>
          <w:lang w:val="de-DE"/>
        </w:rPr>
      </w:pPr>
    </w:p>
    <w:p w:rsidR="00A40CF5" w:rsidRPr="00394973" w:rsidRDefault="009B55D5" w:rsidP="00E85851">
      <w:pPr>
        <w:spacing w:line="360" w:lineRule="auto"/>
        <w:rPr>
          <w:rFonts w:eastAsiaTheme="minorHAnsi"/>
          <w:lang w:val="de-DE"/>
        </w:rPr>
      </w:pPr>
      <w:r>
        <w:rPr>
          <w:rFonts w:eastAsiaTheme="minorHAnsi"/>
          <w:lang w:val="de-DE"/>
        </w:rPr>
        <w:t xml:space="preserve">Der </w:t>
      </w:r>
      <w:r w:rsidR="00A40CF5" w:rsidRPr="00394973">
        <w:rPr>
          <w:rFonts w:eastAsiaTheme="minorHAnsi"/>
          <w:lang w:val="de-DE"/>
        </w:rPr>
        <w:t xml:space="preserve">Kostendruck </w:t>
      </w:r>
      <w:r>
        <w:rPr>
          <w:rFonts w:eastAsiaTheme="minorHAnsi"/>
          <w:lang w:val="de-DE"/>
        </w:rPr>
        <w:t>wirkt sich nicht nur auf</w:t>
      </w:r>
      <w:r w:rsidR="00A40CF5" w:rsidRPr="00394973">
        <w:rPr>
          <w:rFonts w:eastAsiaTheme="minorHAnsi"/>
          <w:lang w:val="de-DE"/>
        </w:rPr>
        <w:t xml:space="preserve"> die Instandhaltung der Schiffe</w:t>
      </w:r>
      <w:r>
        <w:rPr>
          <w:rFonts w:eastAsiaTheme="minorHAnsi"/>
          <w:lang w:val="de-DE"/>
        </w:rPr>
        <w:t xml:space="preserve"> aus, sondern auch auf die </w:t>
      </w:r>
      <w:r w:rsidR="008E0B2D">
        <w:rPr>
          <w:rFonts w:eastAsiaTheme="minorHAnsi"/>
          <w:lang w:val="de-DE"/>
        </w:rPr>
        <w:t>Arbeitsb</w:t>
      </w:r>
      <w:r w:rsidR="00A40CF5" w:rsidRPr="00394973">
        <w:rPr>
          <w:rFonts w:eastAsiaTheme="minorHAnsi"/>
          <w:lang w:val="de-DE"/>
        </w:rPr>
        <w:t xml:space="preserve">edingungen </w:t>
      </w:r>
      <w:r w:rsidR="008E0B2D">
        <w:rPr>
          <w:rFonts w:eastAsiaTheme="minorHAnsi"/>
          <w:lang w:val="de-DE"/>
        </w:rPr>
        <w:t>der</w:t>
      </w:r>
      <w:r w:rsidR="00A40CF5" w:rsidRPr="00394973">
        <w:rPr>
          <w:rFonts w:eastAsiaTheme="minorHAnsi"/>
          <w:lang w:val="de-DE"/>
        </w:rPr>
        <w:t xml:space="preserve"> Besatzung, die Sicherheit auf Passagierschiffen sowie </w:t>
      </w:r>
      <w:r w:rsidR="00A723EC">
        <w:rPr>
          <w:rFonts w:eastAsiaTheme="minorHAnsi"/>
          <w:lang w:val="de-DE"/>
        </w:rPr>
        <w:t xml:space="preserve">auf </w:t>
      </w:r>
      <w:r w:rsidR="00A40CF5" w:rsidRPr="00394973">
        <w:rPr>
          <w:rFonts w:eastAsiaTheme="minorHAnsi"/>
          <w:lang w:val="de-DE"/>
        </w:rPr>
        <w:t>Bergung</w:t>
      </w:r>
      <w:r>
        <w:rPr>
          <w:rFonts w:eastAsiaTheme="minorHAnsi"/>
          <w:lang w:val="de-DE"/>
        </w:rPr>
        <w:t>s-</w:t>
      </w:r>
      <w:r w:rsidR="00A40CF5" w:rsidRPr="00394973">
        <w:rPr>
          <w:rFonts w:eastAsiaTheme="minorHAnsi"/>
          <w:lang w:val="de-DE"/>
        </w:rPr>
        <w:t xml:space="preserve"> und Rettung</w:t>
      </w:r>
      <w:r>
        <w:rPr>
          <w:rFonts w:eastAsiaTheme="minorHAnsi"/>
          <w:lang w:val="de-DE"/>
        </w:rPr>
        <w:t>saktionen</w:t>
      </w:r>
      <w:r w:rsidR="00A40CF5" w:rsidRPr="00394973">
        <w:rPr>
          <w:rFonts w:eastAsiaTheme="minorHAnsi"/>
          <w:lang w:val="de-DE"/>
        </w:rPr>
        <w:t xml:space="preserve">. Laut AGCS war in den letzten zehn Jahren ein Anstieg </w:t>
      </w:r>
      <w:r>
        <w:rPr>
          <w:rFonts w:eastAsiaTheme="minorHAnsi"/>
          <w:lang w:val="de-DE"/>
        </w:rPr>
        <w:t>von</w:t>
      </w:r>
      <w:r w:rsidR="00A40CF5" w:rsidRPr="00394973">
        <w:rPr>
          <w:rFonts w:eastAsiaTheme="minorHAnsi"/>
          <w:lang w:val="de-DE"/>
        </w:rPr>
        <w:t xml:space="preserve"> Versicherungsschäden aufgrund von </w:t>
      </w:r>
      <w:r>
        <w:rPr>
          <w:rFonts w:eastAsiaTheme="minorHAnsi"/>
          <w:lang w:val="de-DE"/>
        </w:rPr>
        <w:t>Übermüdung</w:t>
      </w:r>
      <w:r w:rsidR="00A40CF5" w:rsidRPr="00394973">
        <w:rPr>
          <w:rFonts w:eastAsiaTheme="minorHAnsi"/>
          <w:lang w:val="de-DE"/>
        </w:rPr>
        <w:t xml:space="preserve"> zu beobachten. Längere Schichten angesichts der jetzt schon geringen Personaldecke und die erwartete künftige Personalknappheit könnten dieses Problem </w:t>
      </w:r>
      <w:r>
        <w:rPr>
          <w:rFonts w:eastAsiaTheme="minorHAnsi"/>
          <w:lang w:val="de-DE"/>
        </w:rPr>
        <w:t>weiter</w:t>
      </w:r>
      <w:r w:rsidR="00A40CF5" w:rsidRPr="00394973">
        <w:rPr>
          <w:rFonts w:eastAsiaTheme="minorHAnsi"/>
          <w:lang w:val="de-DE"/>
        </w:rPr>
        <w:t xml:space="preserve"> verschärfen. </w:t>
      </w:r>
      <w:r>
        <w:rPr>
          <w:rFonts w:eastAsiaTheme="minorHAnsi"/>
          <w:lang w:val="de-DE"/>
        </w:rPr>
        <w:t xml:space="preserve">Auch die Trainingsintensität leidet: So ist in einigen Bereichen, </w:t>
      </w:r>
      <w:r w:rsidR="00A40CF5" w:rsidRPr="00394973">
        <w:rPr>
          <w:rFonts w:eastAsiaTheme="minorHAnsi"/>
          <w:lang w:val="de-DE"/>
        </w:rPr>
        <w:t xml:space="preserve">wie </w:t>
      </w:r>
      <w:r>
        <w:rPr>
          <w:rFonts w:eastAsiaTheme="minorHAnsi"/>
          <w:lang w:val="de-DE"/>
        </w:rPr>
        <w:t xml:space="preserve">beispielsweise </w:t>
      </w:r>
      <w:r w:rsidR="00002286">
        <w:rPr>
          <w:rFonts w:eastAsiaTheme="minorHAnsi"/>
          <w:lang w:val="de-DE"/>
        </w:rPr>
        <w:t xml:space="preserve">bei </w:t>
      </w:r>
      <w:r w:rsidR="00A40CF5" w:rsidRPr="00394973">
        <w:rPr>
          <w:rFonts w:eastAsiaTheme="minorHAnsi"/>
          <w:lang w:val="de-DE"/>
        </w:rPr>
        <w:t xml:space="preserve">der elektronischen Navigation, </w:t>
      </w:r>
      <w:r>
        <w:rPr>
          <w:rFonts w:eastAsiaTheme="minorHAnsi"/>
          <w:lang w:val="de-DE"/>
        </w:rPr>
        <w:t xml:space="preserve">der Umfang von </w:t>
      </w:r>
      <w:r w:rsidR="00A40CF5" w:rsidRPr="00394973">
        <w:rPr>
          <w:rFonts w:eastAsiaTheme="minorHAnsi"/>
          <w:lang w:val="de-DE"/>
        </w:rPr>
        <w:t xml:space="preserve">Schulungen </w:t>
      </w:r>
      <w:r>
        <w:rPr>
          <w:rFonts w:eastAsiaTheme="minorHAnsi"/>
          <w:lang w:val="de-DE"/>
        </w:rPr>
        <w:t>unter langjährige Durchschnittswerte gesunken</w:t>
      </w:r>
      <w:r w:rsidR="00A40CF5" w:rsidRPr="00394973">
        <w:rPr>
          <w:rFonts w:eastAsiaTheme="minorHAnsi"/>
          <w:lang w:val="de-DE"/>
        </w:rPr>
        <w:t>.</w:t>
      </w:r>
    </w:p>
    <w:p w:rsidR="001B25C6" w:rsidRPr="00394973" w:rsidRDefault="001B25C6" w:rsidP="00E85851">
      <w:pPr>
        <w:spacing w:line="360" w:lineRule="auto"/>
        <w:rPr>
          <w:rFonts w:eastAsiaTheme="minorHAnsi"/>
          <w:lang w:val="de-DE"/>
        </w:rPr>
      </w:pPr>
    </w:p>
    <w:p w:rsidR="00301F4A" w:rsidRPr="00394973" w:rsidRDefault="00301F4A" w:rsidP="00E85851">
      <w:pPr>
        <w:spacing w:line="360" w:lineRule="auto"/>
        <w:rPr>
          <w:rFonts w:eastAsiaTheme="minorHAnsi"/>
          <w:lang w:val="de-DE"/>
        </w:rPr>
      </w:pPr>
      <w:r w:rsidRPr="00394973">
        <w:rPr>
          <w:rFonts w:eastAsiaTheme="minorHAnsi"/>
          <w:lang w:val="de-DE"/>
        </w:rPr>
        <w:lastRenderedPageBreak/>
        <w:t xml:space="preserve">Obwohl </w:t>
      </w:r>
      <w:r w:rsidR="00F1537B">
        <w:rPr>
          <w:rFonts w:eastAsiaTheme="minorHAnsi"/>
          <w:lang w:val="de-DE"/>
        </w:rPr>
        <w:t xml:space="preserve">sich die Sicherheit auf Passagierschiffen gerade bei internationalen Schiffsreisen </w:t>
      </w:r>
      <w:r w:rsidR="00C757CB">
        <w:rPr>
          <w:rFonts w:eastAsiaTheme="minorHAnsi"/>
          <w:lang w:val="de-DE"/>
        </w:rPr>
        <w:t xml:space="preserve">zuletzt </w:t>
      </w:r>
      <w:r w:rsidR="00F1537B">
        <w:rPr>
          <w:rFonts w:eastAsiaTheme="minorHAnsi"/>
          <w:lang w:val="de-DE"/>
        </w:rPr>
        <w:t>enorm verbessert hat, bestehen bei weiterhin Gefahren innerhalb bestimmter Regionen.</w:t>
      </w:r>
      <w:r w:rsidRPr="00394973">
        <w:rPr>
          <w:rFonts w:eastAsiaTheme="minorHAnsi"/>
          <w:lang w:val="de-DE"/>
        </w:rPr>
        <w:t xml:space="preserve"> </w:t>
      </w:r>
      <w:r w:rsidR="00C50282">
        <w:rPr>
          <w:rFonts w:eastAsiaTheme="minorHAnsi"/>
          <w:lang w:val="de-DE"/>
        </w:rPr>
        <w:t>So ist die Binnenschifffahrt in Asien</w:t>
      </w:r>
      <w:r w:rsidRPr="00394973">
        <w:rPr>
          <w:rFonts w:eastAsiaTheme="minorHAnsi"/>
          <w:lang w:val="de-DE"/>
        </w:rPr>
        <w:t xml:space="preserve"> </w:t>
      </w:r>
      <w:r w:rsidR="00C50282">
        <w:rPr>
          <w:rFonts w:eastAsiaTheme="minorHAnsi"/>
          <w:lang w:val="de-DE"/>
        </w:rPr>
        <w:t xml:space="preserve">teilweise </w:t>
      </w:r>
      <w:r w:rsidRPr="00394973">
        <w:rPr>
          <w:rFonts w:eastAsiaTheme="minorHAnsi"/>
          <w:lang w:val="de-DE"/>
        </w:rPr>
        <w:t xml:space="preserve">weit von internationalen Standards entfernt, wie die jüngsten Fährverluste in den Gewässern Südostasiens </w:t>
      </w:r>
      <w:r w:rsidR="00002286">
        <w:rPr>
          <w:rFonts w:eastAsiaTheme="minorHAnsi"/>
          <w:lang w:val="de-DE"/>
        </w:rPr>
        <w:t>zeigen</w:t>
      </w:r>
      <w:r w:rsidRPr="00394973">
        <w:rPr>
          <w:rFonts w:eastAsiaTheme="minorHAnsi"/>
          <w:lang w:val="de-DE"/>
        </w:rPr>
        <w:t xml:space="preserve">. </w:t>
      </w:r>
    </w:p>
    <w:p w:rsidR="00543A87" w:rsidRPr="00394973" w:rsidRDefault="00543A87" w:rsidP="00543A87">
      <w:pPr>
        <w:rPr>
          <w:rFonts w:eastAsiaTheme="minorHAnsi"/>
          <w:lang w:val="de-DE"/>
        </w:rPr>
      </w:pPr>
    </w:p>
    <w:p w:rsidR="00C50282" w:rsidRPr="00EE2894" w:rsidRDefault="00C50282" w:rsidP="003D2E7A">
      <w:pPr>
        <w:spacing w:line="360" w:lineRule="auto"/>
        <w:rPr>
          <w:rStyle w:val="Hervorhebung"/>
          <w:b/>
          <w:i w:val="0"/>
          <w:lang w:val="de-DE"/>
        </w:rPr>
      </w:pPr>
      <w:r w:rsidRPr="00EE2894">
        <w:rPr>
          <w:rStyle w:val="Hervorhebung"/>
          <w:b/>
          <w:i w:val="0"/>
          <w:lang w:val="de-DE"/>
        </w:rPr>
        <w:t>Die schwierige</w:t>
      </w:r>
      <w:r w:rsidR="00301F4A" w:rsidRPr="00EE2894">
        <w:rPr>
          <w:rStyle w:val="Hervorhebung"/>
          <w:b/>
          <w:i w:val="0"/>
          <w:lang w:val="de-DE"/>
        </w:rPr>
        <w:t xml:space="preserve"> Bergung von Mega</w:t>
      </w:r>
      <w:r w:rsidR="00015347" w:rsidRPr="00EE2894">
        <w:rPr>
          <w:rStyle w:val="Hervorhebung"/>
          <w:b/>
          <w:i w:val="0"/>
          <w:lang w:val="de-DE"/>
        </w:rPr>
        <w:t>s</w:t>
      </w:r>
      <w:r w:rsidR="00301F4A" w:rsidRPr="00EE2894">
        <w:rPr>
          <w:rStyle w:val="Hervorhebung"/>
          <w:b/>
          <w:i w:val="0"/>
          <w:lang w:val="de-DE"/>
        </w:rPr>
        <w:t xml:space="preserve">chiffen </w:t>
      </w:r>
    </w:p>
    <w:p w:rsidR="00252A1C" w:rsidRDefault="00301F4A" w:rsidP="00C50282">
      <w:pPr>
        <w:spacing w:line="360" w:lineRule="auto"/>
        <w:rPr>
          <w:rFonts w:eastAsiaTheme="minorHAnsi"/>
          <w:lang w:val="de-DE"/>
        </w:rPr>
      </w:pPr>
      <w:r w:rsidRPr="00C50282">
        <w:rPr>
          <w:rFonts w:eastAsiaTheme="minorHAnsi"/>
          <w:lang w:val="de-DE"/>
        </w:rPr>
        <w:t>Aufgrund des Trends zu immer größeren Containerschiffen stieg die Frachtkapazität der größten Schiffe in</w:t>
      </w:r>
      <w:r w:rsidR="00C50282">
        <w:rPr>
          <w:rFonts w:eastAsiaTheme="minorHAnsi"/>
          <w:lang w:val="de-DE"/>
        </w:rPr>
        <w:t xml:space="preserve"> den letzten</w:t>
      </w:r>
      <w:r w:rsidRPr="00C50282">
        <w:rPr>
          <w:rFonts w:eastAsiaTheme="minorHAnsi"/>
          <w:lang w:val="de-DE"/>
        </w:rPr>
        <w:t xml:space="preserve"> zehn Jahren um 70 Prozent auf mehr als 19.000 Container an. </w:t>
      </w:r>
      <w:r w:rsidR="00015347">
        <w:rPr>
          <w:rFonts w:eastAsiaTheme="minorHAnsi"/>
          <w:lang w:val="de-DE"/>
        </w:rPr>
        <w:t>Zwei dieser Containerriesen,</w:t>
      </w:r>
      <w:r w:rsidR="00C50282">
        <w:rPr>
          <w:rFonts w:eastAsiaTheme="minorHAnsi"/>
          <w:lang w:val="de-DE"/>
        </w:rPr>
        <w:t xml:space="preserve"> die</w:t>
      </w:r>
      <w:r w:rsidRPr="00C50282">
        <w:rPr>
          <w:rFonts w:eastAsiaTheme="minorHAnsi"/>
          <w:lang w:val="de-DE"/>
        </w:rPr>
        <w:t xml:space="preserve"> </w:t>
      </w:r>
      <w:r w:rsidR="00C50282">
        <w:rPr>
          <w:rFonts w:eastAsiaTheme="minorHAnsi"/>
          <w:lang w:val="de-DE"/>
        </w:rPr>
        <w:t>„</w:t>
      </w:r>
      <w:r w:rsidRPr="00C50282">
        <w:rPr>
          <w:rFonts w:eastAsiaTheme="minorHAnsi"/>
          <w:lang w:val="de-DE"/>
        </w:rPr>
        <w:t xml:space="preserve">CSCL Indian </w:t>
      </w:r>
      <w:proofErr w:type="spellStart"/>
      <w:r w:rsidRPr="00C50282">
        <w:rPr>
          <w:rFonts w:eastAsiaTheme="minorHAnsi"/>
          <w:lang w:val="de-DE"/>
        </w:rPr>
        <w:t>Ocean</w:t>
      </w:r>
      <w:proofErr w:type="spellEnd"/>
      <w:r w:rsidR="00C50282">
        <w:rPr>
          <w:rFonts w:eastAsiaTheme="minorHAnsi"/>
          <w:lang w:val="de-DE"/>
        </w:rPr>
        <w:t xml:space="preserve">“ und </w:t>
      </w:r>
      <w:r w:rsidR="00002286">
        <w:rPr>
          <w:rFonts w:eastAsiaTheme="minorHAnsi"/>
          <w:lang w:val="de-DE"/>
        </w:rPr>
        <w:t xml:space="preserve">die </w:t>
      </w:r>
      <w:r w:rsidR="00C50282">
        <w:rPr>
          <w:rFonts w:eastAsiaTheme="minorHAnsi"/>
          <w:lang w:val="de-DE"/>
        </w:rPr>
        <w:t>„APL Vanda“</w:t>
      </w:r>
      <w:r w:rsidR="00015347">
        <w:rPr>
          <w:rFonts w:eastAsiaTheme="minorHAnsi"/>
          <w:lang w:val="de-DE"/>
        </w:rPr>
        <w:t>,</w:t>
      </w:r>
      <w:r w:rsidR="00C50282">
        <w:rPr>
          <w:rFonts w:eastAsiaTheme="minorHAnsi"/>
          <w:lang w:val="de-DE"/>
        </w:rPr>
        <w:t xml:space="preserve"> liefen </w:t>
      </w:r>
      <w:r w:rsidRPr="00C50282">
        <w:rPr>
          <w:rFonts w:eastAsiaTheme="minorHAnsi"/>
          <w:lang w:val="de-DE"/>
        </w:rPr>
        <w:t xml:space="preserve">im Februar 2016 </w:t>
      </w:r>
      <w:r w:rsidR="00C50282">
        <w:rPr>
          <w:rFonts w:eastAsiaTheme="minorHAnsi"/>
          <w:lang w:val="de-DE"/>
        </w:rPr>
        <w:t>auf Grund</w:t>
      </w:r>
      <w:r w:rsidR="00C757CB">
        <w:rPr>
          <w:rFonts w:eastAsiaTheme="minorHAnsi"/>
          <w:lang w:val="de-DE"/>
        </w:rPr>
        <w:t>. Diese Vorfälle nähren Bedenken hinsichtlich der Ma</w:t>
      </w:r>
      <w:r w:rsidR="00015347">
        <w:rPr>
          <w:rFonts w:eastAsiaTheme="minorHAnsi"/>
          <w:lang w:val="de-DE"/>
        </w:rPr>
        <w:t>chbarkeit von Bergungen</w:t>
      </w:r>
      <w:r w:rsidR="00C757CB">
        <w:rPr>
          <w:rFonts w:eastAsiaTheme="minorHAnsi"/>
          <w:lang w:val="de-DE"/>
        </w:rPr>
        <w:t xml:space="preserve">: </w:t>
      </w:r>
      <w:r w:rsidR="00015347">
        <w:rPr>
          <w:rFonts w:eastAsiaTheme="minorHAnsi"/>
          <w:lang w:val="de-DE"/>
        </w:rPr>
        <w:t>Denn s</w:t>
      </w:r>
      <w:r w:rsidR="00C757CB">
        <w:rPr>
          <w:rFonts w:eastAsiaTheme="minorHAnsi"/>
          <w:lang w:val="de-DE"/>
        </w:rPr>
        <w:t>pezialisierte Bergungsunternehmen</w:t>
      </w:r>
      <w:r w:rsidR="00015347">
        <w:rPr>
          <w:rFonts w:eastAsiaTheme="minorHAnsi"/>
          <w:lang w:val="de-DE"/>
        </w:rPr>
        <w:t xml:space="preserve"> sind oft nicht so schnell und einfach verfügbar, wie es notwendig wäre, da sie ihre Geräte weltweit einsetzen</w:t>
      </w:r>
      <w:r w:rsidR="00F93A79">
        <w:rPr>
          <w:rFonts w:eastAsiaTheme="minorHAnsi"/>
          <w:lang w:val="de-DE"/>
        </w:rPr>
        <w:t xml:space="preserve"> müssen</w:t>
      </w:r>
      <w:r w:rsidR="00015347">
        <w:rPr>
          <w:rFonts w:eastAsiaTheme="minorHAnsi"/>
          <w:lang w:val="de-DE"/>
        </w:rPr>
        <w:t>. Mit Blick auf Megaschiffe muss sich d</w:t>
      </w:r>
      <w:r w:rsidRPr="00C50282">
        <w:rPr>
          <w:rFonts w:eastAsiaTheme="minorHAnsi"/>
          <w:lang w:val="de-DE"/>
        </w:rPr>
        <w:t xml:space="preserve">ie Branche </w:t>
      </w:r>
      <w:r w:rsidR="00252A1C">
        <w:rPr>
          <w:rFonts w:eastAsiaTheme="minorHAnsi"/>
          <w:lang w:val="de-DE"/>
        </w:rPr>
        <w:t xml:space="preserve">auf Schadenszenarien einstellen, die 1 Milliarde US-Dollar übersteigen. </w:t>
      </w:r>
      <w:r w:rsidRPr="00C50282">
        <w:rPr>
          <w:rFonts w:eastAsiaTheme="minorHAnsi"/>
          <w:lang w:val="de-DE"/>
        </w:rPr>
        <w:t xml:space="preserve"> </w:t>
      </w:r>
    </w:p>
    <w:p w:rsidR="00252A1C" w:rsidRPr="00C50282" w:rsidRDefault="00252A1C" w:rsidP="00C50282">
      <w:pPr>
        <w:spacing w:line="360" w:lineRule="auto"/>
        <w:rPr>
          <w:rFonts w:eastAsiaTheme="minorHAnsi"/>
          <w:lang w:val="de-DE"/>
        </w:rPr>
      </w:pPr>
    </w:p>
    <w:p w:rsidR="00301F4A" w:rsidRPr="00624761" w:rsidRDefault="00624761" w:rsidP="0052311F">
      <w:pPr>
        <w:spacing w:line="360" w:lineRule="auto"/>
        <w:rPr>
          <w:rStyle w:val="Hervorhebung"/>
          <w:i w:val="0"/>
          <w:iCs w:val="0"/>
          <w:lang w:val="de-DE"/>
        </w:rPr>
      </w:pPr>
      <w:r>
        <w:rPr>
          <w:lang w:val="de-DE"/>
        </w:rPr>
        <w:t>Auch</w:t>
      </w:r>
      <w:r w:rsidR="00301F4A" w:rsidRPr="00394973">
        <w:rPr>
          <w:lang w:val="de-DE"/>
        </w:rPr>
        <w:t xml:space="preserve"> </w:t>
      </w:r>
      <w:r>
        <w:rPr>
          <w:lang w:val="de-DE"/>
        </w:rPr>
        <w:t xml:space="preserve">extreme </w:t>
      </w:r>
      <w:r w:rsidR="00301F4A" w:rsidRPr="00394973">
        <w:rPr>
          <w:lang w:val="de-DE"/>
        </w:rPr>
        <w:t>Wetterereignisse</w:t>
      </w:r>
      <w:r>
        <w:rPr>
          <w:lang w:val="de-DE"/>
        </w:rPr>
        <w:t xml:space="preserve"> –  wie sie in diesem Jahr als Folge eines besonders starken </w:t>
      </w:r>
      <w:proofErr w:type="spellStart"/>
      <w:r>
        <w:rPr>
          <w:lang w:val="de-DE"/>
        </w:rPr>
        <w:t>El</w:t>
      </w:r>
      <w:proofErr w:type="spellEnd"/>
      <w:r>
        <w:rPr>
          <w:lang w:val="de-DE"/>
        </w:rPr>
        <w:t xml:space="preserve"> </w:t>
      </w:r>
      <w:proofErr w:type="spellStart"/>
      <w:r w:rsidRPr="00394973">
        <w:rPr>
          <w:lang w:val="de-DE"/>
        </w:rPr>
        <w:t>Niño</w:t>
      </w:r>
      <w:proofErr w:type="spellEnd"/>
      <w:r>
        <w:rPr>
          <w:lang w:val="de-DE"/>
        </w:rPr>
        <w:t xml:space="preserve"> erwartet werden – entwickeln sich zu einer wachsenden Bedrohung für </w:t>
      </w:r>
      <w:r w:rsidR="00015347">
        <w:rPr>
          <w:lang w:val="de-DE"/>
        </w:rPr>
        <w:t xml:space="preserve">die </w:t>
      </w:r>
      <w:r>
        <w:rPr>
          <w:lang w:val="de-DE"/>
        </w:rPr>
        <w:t xml:space="preserve">Schifffahrt und </w:t>
      </w:r>
      <w:r w:rsidR="00015347">
        <w:rPr>
          <w:lang w:val="de-DE"/>
        </w:rPr>
        <w:t xml:space="preserve">die weltweiten </w:t>
      </w:r>
      <w:r>
        <w:rPr>
          <w:lang w:val="de-DE"/>
        </w:rPr>
        <w:t>Lieferketten.</w:t>
      </w:r>
      <w:r w:rsidR="00301F4A" w:rsidRPr="00394973">
        <w:rPr>
          <w:lang w:val="de-DE"/>
        </w:rPr>
        <w:t xml:space="preserve"> Schlechtes Wetter war auch </w:t>
      </w:r>
      <w:r>
        <w:rPr>
          <w:lang w:val="de-DE"/>
        </w:rPr>
        <w:t>eine der Unglücksursachen</w:t>
      </w:r>
      <w:r w:rsidR="00301F4A" w:rsidRPr="00394973">
        <w:rPr>
          <w:lang w:val="de-DE"/>
        </w:rPr>
        <w:t xml:space="preserve"> b</w:t>
      </w:r>
      <w:r>
        <w:rPr>
          <w:lang w:val="de-DE"/>
        </w:rPr>
        <w:t xml:space="preserve">ei drei der fünf größten Schiffsunglücke im letzten Jahr. </w:t>
      </w:r>
      <w:r w:rsidR="00015347">
        <w:rPr>
          <w:lang w:val="de-DE"/>
        </w:rPr>
        <w:t>So geriet</w:t>
      </w:r>
      <w:r>
        <w:rPr>
          <w:lang w:val="de-DE"/>
        </w:rPr>
        <w:t xml:space="preserve"> der </w:t>
      </w:r>
      <w:proofErr w:type="spellStart"/>
      <w:r w:rsidR="00015347">
        <w:rPr>
          <w:lang w:val="de-DE"/>
        </w:rPr>
        <w:t>ConRo</w:t>
      </w:r>
      <w:proofErr w:type="spellEnd"/>
      <w:r w:rsidR="00015347">
        <w:rPr>
          <w:lang w:val="de-DE"/>
        </w:rPr>
        <w:t>-</w:t>
      </w:r>
      <w:r>
        <w:rPr>
          <w:lang w:val="de-DE"/>
        </w:rPr>
        <w:t>Frachter „</w:t>
      </w:r>
      <w:proofErr w:type="spellStart"/>
      <w:r w:rsidR="00301F4A" w:rsidRPr="00394973">
        <w:rPr>
          <w:lang w:val="de-DE"/>
        </w:rPr>
        <w:t>El</w:t>
      </w:r>
      <w:proofErr w:type="spellEnd"/>
      <w:r w:rsidR="00301F4A" w:rsidRPr="00394973">
        <w:rPr>
          <w:lang w:val="de-DE"/>
        </w:rPr>
        <w:t xml:space="preserve"> </w:t>
      </w:r>
      <w:proofErr w:type="spellStart"/>
      <w:r w:rsidR="00301F4A" w:rsidRPr="00394973">
        <w:rPr>
          <w:lang w:val="de-DE"/>
        </w:rPr>
        <w:t>Faro</w:t>
      </w:r>
      <w:proofErr w:type="spellEnd"/>
      <w:r>
        <w:rPr>
          <w:lang w:val="de-DE"/>
        </w:rPr>
        <w:t>“</w:t>
      </w:r>
      <w:r w:rsidR="00015347">
        <w:rPr>
          <w:lang w:val="de-DE"/>
        </w:rPr>
        <w:t xml:space="preserve"> im Oktober 2015 bei einem Hurrikan in Seenot und sank</w:t>
      </w:r>
      <w:r w:rsidR="00301F4A" w:rsidRPr="00394973">
        <w:rPr>
          <w:lang w:val="de-DE"/>
        </w:rPr>
        <w:t>.</w:t>
      </w:r>
      <w:r w:rsidR="00301F4A" w:rsidRPr="00394973">
        <w:rPr>
          <w:rStyle w:val="Hervorhebung"/>
          <w:rFonts w:cs="Arial"/>
          <w:i w:val="0"/>
          <w:lang w:val="de-DE"/>
        </w:rPr>
        <w:t xml:space="preserve"> </w:t>
      </w:r>
      <w:r>
        <w:rPr>
          <w:rStyle w:val="Hervorhebung"/>
          <w:rFonts w:cs="Arial"/>
          <w:i w:val="0"/>
          <w:lang w:val="de-DE"/>
        </w:rPr>
        <w:t>„Dass</w:t>
      </w:r>
      <w:r w:rsidR="00301F4A" w:rsidRPr="00394973">
        <w:rPr>
          <w:rStyle w:val="Hervorhebung"/>
          <w:rFonts w:cs="Arial"/>
          <w:i w:val="0"/>
          <w:lang w:val="de-DE"/>
        </w:rPr>
        <w:t xml:space="preserve"> Superstürme für Schiffsuntergänge verantwortlich sind, ist besorgniserregend", sagt Sven Gerhard, Global </w:t>
      </w:r>
      <w:proofErr w:type="spellStart"/>
      <w:r w:rsidR="00301F4A" w:rsidRPr="00394973">
        <w:rPr>
          <w:rStyle w:val="Hervorhebung"/>
          <w:rFonts w:cs="Arial"/>
          <w:i w:val="0"/>
          <w:lang w:val="de-DE"/>
        </w:rPr>
        <w:t>Product</w:t>
      </w:r>
      <w:proofErr w:type="spellEnd"/>
      <w:r w:rsidR="00301F4A" w:rsidRPr="00394973">
        <w:rPr>
          <w:rStyle w:val="Hervorhebung"/>
          <w:rFonts w:cs="Arial"/>
          <w:i w:val="0"/>
          <w:lang w:val="de-DE"/>
        </w:rPr>
        <w:t xml:space="preserve"> Leader Hull &amp; Marine </w:t>
      </w:r>
      <w:proofErr w:type="spellStart"/>
      <w:r w:rsidR="00301F4A" w:rsidRPr="00394973">
        <w:rPr>
          <w:rStyle w:val="Hervorhebung"/>
          <w:rFonts w:cs="Arial"/>
          <w:i w:val="0"/>
          <w:lang w:val="de-DE"/>
        </w:rPr>
        <w:t>Liabilities</w:t>
      </w:r>
      <w:proofErr w:type="spellEnd"/>
      <w:r w:rsidR="00301F4A" w:rsidRPr="00394973">
        <w:rPr>
          <w:rStyle w:val="Hervorhebung"/>
          <w:rFonts w:cs="Arial"/>
          <w:i w:val="0"/>
          <w:lang w:val="de-DE"/>
        </w:rPr>
        <w:t xml:space="preserve">, AGCS. </w:t>
      </w:r>
      <w:r>
        <w:rPr>
          <w:rStyle w:val="Hervorhebung"/>
          <w:rFonts w:cs="Arial"/>
          <w:i w:val="0"/>
          <w:lang w:val="de-DE"/>
        </w:rPr>
        <w:t>„</w:t>
      </w:r>
      <w:r w:rsidR="00301F4A" w:rsidRPr="00394973">
        <w:rPr>
          <w:rStyle w:val="Hervorhebung"/>
          <w:rFonts w:cs="Arial"/>
          <w:i w:val="0"/>
          <w:lang w:val="de-DE"/>
        </w:rPr>
        <w:t xml:space="preserve">Wir </w:t>
      </w:r>
      <w:r w:rsidR="00002286">
        <w:rPr>
          <w:rStyle w:val="Hervorhebung"/>
          <w:rFonts w:cs="Arial"/>
          <w:i w:val="0"/>
          <w:lang w:val="de-DE"/>
        </w:rPr>
        <w:t>haben es mit</w:t>
      </w:r>
      <w:r w:rsidR="00002286" w:rsidRPr="00394973">
        <w:rPr>
          <w:rStyle w:val="Hervorhebung"/>
          <w:rFonts w:cs="Arial"/>
          <w:i w:val="0"/>
          <w:lang w:val="de-DE"/>
        </w:rPr>
        <w:t xml:space="preserve"> </w:t>
      </w:r>
      <w:r w:rsidR="00301F4A" w:rsidRPr="00394973">
        <w:rPr>
          <w:rStyle w:val="Hervorhebung"/>
          <w:rFonts w:cs="Arial"/>
          <w:i w:val="0"/>
          <w:lang w:val="de-DE"/>
        </w:rPr>
        <w:t>immer mehr und schwerwiegendere</w:t>
      </w:r>
      <w:r w:rsidR="00002286">
        <w:rPr>
          <w:rStyle w:val="Hervorhebung"/>
          <w:rFonts w:cs="Arial"/>
          <w:i w:val="0"/>
          <w:lang w:val="de-DE"/>
        </w:rPr>
        <w:t>n</w:t>
      </w:r>
      <w:r w:rsidR="00301F4A" w:rsidRPr="00394973">
        <w:rPr>
          <w:rStyle w:val="Hervorhebung"/>
          <w:rFonts w:cs="Arial"/>
          <w:i w:val="0"/>
          <w:lang w:val="de-DE"/>
        </w:rPr>
        <w:t xml:space="preserve"> Naturkatastrophen </w:t>
      </w:r>
      <w:r w:rsidR="00002286">
        <w:rPr>
          <w:rStyle w:val="Hervorhebung"/>
          <w:rFonts w:cs="Arial"/>
          <w:i w:val="0"/>
          <w:lang w:val="de-DE"/>
        </w:rPr>
        <w:t>zu tun</w:t>
      </w:r>
      <w:r w:rsidR="00301F4A" w:rsidRPr="00394973">
        <w:rPr>
          <w:rStyle w:val="Hervorhebung"/>
          <w:rFonts w:cs="Arial"/>
          <w:i w:val="0"/>
          <w:lang w:val="de-DE"/>
        </w:rPr>
        <w:t>. Das Wetterrouting bleibt somit weiterhin ein wichtiger Bestandteil bei der sicheren Navigation von Schiffen</w:t>
      </w:r>
      <w:r w:rsidR="00FF2717">
        <w:rPr>
          <w:rStyle w:val="Hervorhebung"/>
          <w:rFonts w:cs="Arial"/>
          <w:i w:val="0"/>
          <w:lang w:val="de-DE"/>
        </w:rPr>
        <w:t>."</w:t>
      </w:r>
      <w:r w:rsidR="00F93A79">
        <w:rPr>
          <w:rStyle w:val="Hervorhebung"/>
          <w:rFonts w:cs="Arial"/>
          <w:i w:val="0"/>
          <w:lang w:val="de-DE"/>
        </w:rPr>
        <w:br/>
      </w:r>
    </w:p>
    <w:p w:rsidR="00F224CB" w:rsidRPr="00F93A79" w:rsidRDefault="00F93A79" w:rsidP="00555DB7">
      <w:pPr>
        <w:spacing w:line="360" w:lineRule="auto"/>
        <w:rPr>
          <w:rFonts w:cs="Arial"/>
          <w:b/>
          <w:lang w:val="de-DE"/>
        </w:rPr>
      </w:pPr>
      <w:r w:rsidRPr="00F93A79">
        <w:rPr>
          <w:rFonts w:cs="Arial"/>
          <w:b/>
          <w:lang w:val="de-DE"/>
        </w:rPr>
        <w:t xml:space="preserve">Nur </w:t>
      </w:r>
      <w:r>
        <w:rPr>
          <w:rFonts w:cs="Arial"/>
          <w:b/>
          <w:lang w:val="de-DE"/>
        </w:rPr>
        <w:t xml:space="preserve">der </w:t>
      </w:r>
      <w:r w:rsidRPr="00F93A79">
        <w:rPr>
          <w:rFonts w:cs="Arial"/>
          <w:b/>
          <w:lang w:val="de-DE"/>
        </w:rPr>
        <w:t xml:space="preserve">Sextant </w:t>
      </w:r>
      <w:r>
        <w:rPr>
          <w:rFonts w:cs="Arial"/>
          <w:b/>
          <w:lang w:val="de-DE"/>
        </w:rPr>
        <w:t xml:space="preserve">ist vor Hackern sicher </w:t>
      </w:r>
    </w:p>
    <w:p w:rsidR="00A67857" w:rsidRPr="00394973" w:rsidRDefault="00A67857" w:rsidP="00612CF4">
      <w:pPr>
        <w:spacing w:after="200" w:line="360" w:lineRule="auto"/>
        <w:rPr>
          <w:rFonts w:eastAsiaTheme="minorHAnsi" w:cs="Arial"/>
          <w:lang w:val="de-DE"/>
        </w:rPr>
      </w:pPr>
      <w:r w:rsidRPr="00394973">
        <w:rPr>
          <w:rFonts w:eastAsiaTheme="minorHAnsi" w:cs="Arial"/>
          <w:lang w:val="de-DE"/>
        </w:rPr>
        <w:t xml:space="preserve">Die </w:t>
      </w:r>
      <w:r w:rsidR="00002286">
        <w:rPr>
          <w:rFonts w:eastAsiaTheme="minorHAnsi" w:cs="Arial"/>
          <w:lang w:val="de-DE"/>
        </w:rPr>
        <w:t xml:space="preserve">zunehmend </w:t>
      </w:r>
      <w:r w:rsidR="00B07412">
        <w:rPr>
          <w:rFonts w:eastAsiaTheme="minorHAnsi" w:cs="Arial"/>
          <w:lang w:val="de-DE"/>
        </w:rPr>
        <w:t xml:space="preserve">elektronische Navigation, </w:t>
      </w:r>
      <w:r w:rsidR="00015347">
        <w:rPr>
          <w:rFonts w:eastAsiaTheme="minorHAnsi" w:cs="Arial"/>
          <w:lang w:val="de-DE"/>
        </w:rPr>
        <w:t>Automatisierung und digitale Vernetzung in der</w:t>
      </w:r>
      <w:r w:rsidRPr="00394973">
        <w:rPr>
          <w:rFonts w:eastAsiaTheme="minorHAnsi" w:cs="Arial"/>
          <w:lang w:val="de-DE"/>
        </w:rPr>
        <w:t xml:space="preserve"> Schifffahrt </w:t>
      </w:r>
      <w:r w:rsidR="00002286">
        <w:rPr>
          <w:rFonts w:eastAsiaTheme="minorHAnsi" w:cs="Arial"/>
          <w:lang w:val="de-DE"/>
        </w:rPr>
        <w:t xml:space="preserve">erhöhen die </w:t>
      </w:r>
      <w:r w:rsidR="00015347">
        <w:rPr>
          <w:rFonts w:eastAsiaTheme="minorHAnsi" w:cs="Arial"/>
          <w:lang w:val="de-DE"/>
        </w:rPr>
        <w:t>Anfälligkeit der Branche für Cyberattacken, der</w:t>
      </w:r>
      <w:r w:rsidR="00002286">
        <w:rPr>
          <w:rFonts w:eastAsiaTheme="minorHAnsi" w:cs="Arial"/>
          <w:lang w:val="de-DE"/>
        </w:rPr>
        <w:t>en</w:t>
      </w:r>
      <w:r w:rsidR="00015347">
        <w:rPr>
          <w:rFonts w:eastAsiaTheme="minorHAnsi" w:cs="Arial"/>
          <w:lang w:val="de-DE"/>
        </w:rPr>
        <w:t xml:space="preserve"> Folgen weit über</w:t>
      </w:r>
      <w:r w:rsidR="00002286">
        <w:rPr>
          <w:rFonts w:eastAsiaTheme="minorHAnsi" w:cs="Arial"/>
          <w:lang w:val="de-DE"/>
        </w:rPr>
        <w:t xml:space="preserve"> den</w:t>
      </w:r>
      <w:r w:rsidR="00015347">
        <w:rPr>
          <w:rFonts w:eastAsiaTheme="minorHAnsi" w:cs="Arial"/>
          <w:lang w:val="de-DE"/>
        </w:rPr>
        <w:t xml:space="preserve"> reinen Datenverlust hinausgehen. </w:t>
      </w:r>
      <w:r w:rsidRPr="00394973">
        <w:rPr>
          <w:rFonts w:eastAsiaTheme="minorHAnsi" w:cs="Arial"/>
          <w:lang w:val="de-DE"/>
        </w:rPr>
        <w:t xml:space="preserve">Es gab bereits einige </w:t>
      </w:r>
      <w:r w:rsidR="000D793C">
        <w:rPr>
          <w:rFonts w:eastAsiaTheme="minorHAnsi" w:cs="Arial"/>
          <w:lang w:val="de-DE"/>
        </w:rPr>
        <w:t>nennenswerte Cybervorfälle</w:t>
      </w:r>
      <w:r w:rsidR="00B07412">
        <w:rPr>
          <w:rFonts w:eastAsiaTheme="minorHAnsi" w:cs="Arial"/>
          <w:lang w:val="de-DE"/>
        </w:rPr>
        <w:t>. Möglicherweise bleiben der Branche nur noch wenige Jahre</w:t>
      </w:r>
      <w:r w:rsidRPr="00394973">
        <w:rPr>
          <w:rFonts w:eastAsiaTheme="minorHAnsi" w:cs="Arial"/>
          <w:lang w:val="de-DE"/>
        </w:rPr>
        <w:t xml:space="preserve">, um sich gegen das Risiko eines Schiffsverlusts </w:t>
      </w:r>
      <w:r w:rsidR="000D793C">
        <w:rPr>
          <w:rFonts w:eastAsiaTheme="minorHAnsi" w:cs="Arial"/>
          <w:lang w:val="de-DE"/>
        </w:rPr>
        <w:t xml:space="preserve">durch eine Cyberattacke </w:t>
      </w:r>
      <w:r w:rsidRPr="00394973">
        <w:rPr>
          <w:rFonts w:eastAsiaTheme="minorHAnsi" w:cs="Arial"/>
          <w:lang w:val="de-DE"/>
        </w:rPr>
        <w:t xml:space="preserve">zu wappnen. </w:t>
      </w:r>
      <w:r w:rsidR="000D793C">
        <w:rPr>
          <w:rFonts w:eastAsiaTheme="minorHAnsi" w:cs="Arial"/>
          <w:lang w:val="de-DE"/>
        </w:rPr>
        <w:t>„</w:t>
      </w:r>
      <w:r w:rsidRPr="00394973">
        <w:rPr>
          <w:rFonts w:eastAsiaTheme="minorHAnsi" w:cs="Arial"/>
          <w:lang w:val="de-DE"/>
        </w:rPr>
        <w:t xml:space="preserve">Piraten nutzen bereits </w:t>
      </w:r>
      <w:r w:rsidR="000D793C">
        <w:rPr>
          <w:rFonts w:eastAsiaTheme="minorHAnsi" w:cs="Arial"/>
          <w:lang w:val="de-DE"/>
        </w:rPr>
        <w:t>Sicherheitslücken</w:t>
      </w:r>
      <w:r w:rsidRPr="00394973">
        <w:rPr>
          <w:rFonts w:eastAsiaTheme="minorHAnsi" w:cs="Arial"/>
          <w:lang w:val="de-DE"/>
        </w:rPr>
        <w:t xml:space="preserve"> aus, um den Diebstahl bestimmter Ladungen </w:t>
      </w:r>
      <w:r w:rsidR="000D793C">
        <w:rPr>
          <w:rFonts w:eastAsiaTheme="minorHAnsi" w:cs="Arial"/>
          <w:lang w:val="de-DE"/>
        </w:rPr>
        <w:t>in die Wege zu leiten</w:t>
      </w:r>
      <w:r w:rsidRPr="00394973">
        <w:rPr>
          <w:rFonts w:eastAsiaTheme="minorHAnsi" w:cs="Arial"/>
          <w:lang w:val="de-DE"/>
        </w:rPr>
        <w:t xml:space="preserve">", </w:t>
      </w:r>
      <w:r w:rsidR="00B07412">
        <w:rPr>
          <w:rFonts w:eastAsiaTheme="minorHAnsi" w:cs="Arial"/>
          <w:lang w:val="de-DE"/>
        </w:rPr>
        <w:t xml:space="preserve">erklärt </w:t>
      </w:r>
      <w:r w:rsidRPr="00394973">
        <w:rPr>
          <w:rFonts w:eastAsiaTheme="minorHAnsi" w:cs="Arial"/>
          <w:lang w:val="de-DE"/>
        </w:rPr>
        <w:t xml:space="preserve">Kapitän Andrew Kinsey, Senior Marine </w:t>
      </w:r>
      <w:proofErr w:type="spellStart"/>
      <w:r w:rsidRPr="00394973">
        <w:rPr>
          <w:rFonts w:eastAsiaTheme="minorHAnsi" w:cs="Arial"/>
          <w:lang w:val="de-DE"/>
        </w:rPr>
        <w:t>Risk</w:t>
      </w:r>
      <w:proofErr w:type="spellEnd"/>
      <w:r w:rsidRPr="00394973">
        <w:rPr>
          <w:rFonts w:eastAsiaTheme="minorHAnsi" w:cs="Arial"/>
          <w:lang w:val="de-DE"/>
        </w:rPr>
        <w:t xml:space="preserve"> Consultant, AGCS. </w:t>
      </w:r>
      <w:r w:rsidR="000D793C">
        <w:rPr>
          <w:rFonts w:eastAsiaTheme="minorHAnsi" w:cs="Arial"/>
          <w:lang w:val="de-DE"/>
        </w:rPr>
        <w:t>„</w:t>
      </w:r>
      <w:r w:rsidRPr="00394973">
        <w:rPr>
          <w:rFonts w:eastAsiaTheme="minorHAnsi" w:cs="Arial"/>
          <w:lang w:val="de-DE"/>
        </w:rPr>
        <w:t>Cyber</w:t>
      </w:r>
      <w:r w:rsidR="000D793C">
        <w:rPr>
          <w:rFonts w:eastAsiaTheme="minorHAnsi" w:cs="Arial"/>
          <w:lang w:val="de-DE"/>
        </w:rPr>
        <w:t>gefahren</w:t>
      </w:r>
      <w:r w:rsidRPr="00394973">
        <w:rPr>
          <w:rFonts w:eastAsiaTheme="minorHAnsi" w:cs="Arial"/>
          <w:lang w:val="de-DE"/>
        </w:rPr>
        <w:t xml:space="preserve"> </w:t>
      </w:r>
      <w:r w:rsidR="00B07412">
        <w:rPr>
          <w:rFonts w:eastAsiaTheme="minorHAnsi" w:cs="Arial"/>
          <w:lang w:val="de-DE"/>
        </w:rPr>
        <w:t xml:space="preserve">für die Schifffahrt </w:t>
      </w:r>
      <w:r w:rsidRPr="00394973">
        <w:rPr>
          <w:rFonts w:eastAsiaTheme="minorHAnsi" w:cs="Arial"/>
          <w:lang w:val="de-DE"/>
        </w:rPr>
        <w:t xml:space="preserve">können nicht hoch genug </w:t>
      </w:r>
      <w:r w:rsidR="00B07412">
        <w:rPr>
          <w:rFonts w:eastAsiaTheme="minorHAnsi" w:cs="Arial"/>
          <w:lang w:val="de-DE"/>
        </w:rPr>
        <w:t xml:space="preserve">bewertet </w:t>
      </w:r>
      <w:r w:rsidRPr="00394973">
        <w:rPr>
          <w:rFonts w:eastAsiaTheme="minorHAnsi" w:cs="Arial"/>
          <w:lang w:val="de-DE"/>
        </w:rPr>
        <w:t xml:space="preserve">werden. </w:t>
      </w:r>
      <w:r w:rsidR="00B07412">
        <w:rPr>
          <w:rFonts w:eastAsiaTheme="minorHAnsi" w:cs="Arial"/>
          <w:lang w:val="de-DE"/>
        </w:rPr>
        <w:t>Einzig den</w:t>
      </w:r>
      <w:r w:rsidRPr="00394973">
        <w:rPr>
          <w:rFonts w:eastAsiaTheme="minorHAnsi" w:cs="Arial"/>
          <w:lang w:val="de-DE"/>
        </w:rPr>
        <w:t xml:space="preserve"> Sextanten</w:t>
      </w:r>
      <w:r w:rsidR="00B07412">
        <w:rPr>
          <w:rFonts w:eastAsiaTheme="minorHAnsi" w:cs="Arial"/>
          <w:lang w:val="de-DE"/>
        </w:rPr>
        <w:t xml:space="preserve"> an Bord</w:t>
      </w:r>
      <w:r w:rsidRPr="00394973">
        <w:rPr>
          <w:rFonts w:eastAsiaTheme="minorHAnsi" w:cs="Arial"/>
          <w:lang w:val="de-DE"/>
        </w:rPr>
        <w:t xml:space="preserve"> kann man nicht hacken."</w:t>
      </w:r>
    </w:p>
    <w:p w:rsidR="00A67857" w:rsidRDefault="000D793C" w:rsidP="00612CF4">
      <w:pPr>
        <w:spacing w:after="200" w:line="360" w:lineRule="auto"/>
        <w:rPr>
          <w:rFonts w:eastAsiaTheme="minorHAnsi" w:cs="Arial"/>
          <w:lang w:val="de-DE"/>
        </w:rPr>
      </w:pPr>
      <w:r>
        <w:rPr>
          <w:rFonts w:eastAsiaTheme="minorHAnsi" w:cs="Arial"/>
          <w:lang w:val="de-DE"/>
        </w:rPr>
        <w:t xml:space="preserve">Weitere Ergebnisse </w:t>
      </w:r>
      <w:r w:rsidR="00B07412">
        <w:rPr>
          <w:rFonts w:eastAsiaTheme="minorHAnsi" w:cs="Arial"/>
          <w:lang w:val="de-DE"/>
        </w:rPr>
        <w:t>der Studie</w:t>
      </w:r>
      <w:r>
        <w:rPr>
          <w:rFonts w:eastAsiaTheme="minorHAnsi" w:cs="Arial"/>
          <w:lang w:val="de-DE"/>
        </w:rPr>
        <w:t xml:space="preserve"> sind: </w:t>
      </w:r>
    </w:p>
    <w:p w:rsidR="00B07412" w:rsidRDefault="00B07412" w:rsidP="00612CF4">
      <w:pPr>
        <w:pStyle w:val="Listenabsatz"/>
        <w:numPr>
          <w:ilvl w:val="0"/>
          <w:numId w:val="9"/>
        </w:numPr>
        <w:spacing w:line="360" w:lineRule="auto"/>
        <w:rPr>
          <w:rFonts w:eastAsiaTheme="minorHAnsi" w:cs="Arial"/>
          <w:lang w:val="de-DE"/>
        </w:rPr>
      </w:pPr>
      <w:r w:rsidRPr="00B07412">
        <w:rPr>
          <w:rFonts w:eastAsiaTheme="minorHAnsi" w:cs="Arial"/>
          <w:b/>
          <w:lang w:val="de-DE"/>
        </w:rPr>
        <w:lastRenderedPageBreak/>
        <w:t>Eindämmung der Piraterie stagniert</w:t>
      </w:r>
      <w:r w:rsidRPr="00B07412">
        <w:rPr>
          <w:rFonts w:eastAsiaTheme="minorHAnsi" w:cs="Arial"/>
          <w:lang w:val="de-DE"/>
        </w:rPr>
        <w:t>: 2015 konnte zum ersten Mal seit sechs Jahren kein Rückgang der Piraterie verbucht werden</w:t>
      </w:r>
      <w:r w:rsidRPr="00394973">
        <w:rPr>
          <w:rStyle w:val="Funotenzeichen"/>
          <w:rFonts w:eastAsiaTheme="minorHAnsi" w:cs="Arial"/>
          <w:lang w:val="de-DE"/>
        </w:rPr>
        <w:footnoteReference w:id="1"/>
      </w:r>
      <w:r w:rsidRPr="00B07412">
        <w:rPr>
          <w:rFonts w:eastAsiaTheme="minorHAnsi" w:cs="Arial"/>
          <w:lang w:val="de-DE"/>
        </w:rPr>
        <w:t>. Die Angriffe in Südostasien machen dabei 60 Prozent aller Vorfälle aus. Angriffe in Vietnam sind im Vergleich zum Vorjahr gestiegen.</w:t>
      </w:r>
    </w:p>
    <w:p w:rsidR="00B07412" w:rsidRDefault="00A67857" w:rsidP="00612CF4">
      <w:pPr>
        <w:pStyle w:val="Listenabsatz"/>
        <w:numPr>
          <w:ilvl w:val="0"/>
          <w:numId w:val="9"/>
        </w:numPr>
        <w:spacing w:line="360" w:lineRule="auto"/>
        <w:rPr>
          <w:rFonts w:eastAsiaTheme="minorHAnsi" w:cs="Arial"/>
          <w:lang w:val="de-DE"/>
        </w:rPr>
      </w:pPr>
      <w:r w:rsidRPr="00B07412">
        <w:rPr>
          <w:rFonts w:eastAsiaTheme="minorHAnsi" w:cs="Arial"/>
          <w:b/>
          <w:lang w:val="de-DE"/>
        </w:rPr>
        <w:t>Sicherheitsbedrohung durch geringere Emissionen:</w:t>
      </w:r>
      <w:r w:rsidRPr="00B07412">
        <w:rPr>
          <w:rFonts w:eastAsiaTheme="minorHAnsi" w:cs="Arial"/>
          <w:lang w:val="de-DE"/>
        </w:rPr>
        <w:t xml:space="preserve"> </w:t>
      </w:r>
      <w:r w:rsidR="000D793C" w:rsidRPr="00B07412">
        <w:rPr>
          <w:rFonts w:eastAsiaTheme="minorHAnsi" w:cs="Arial"/>
          <w:lang w:val="de-DE"/>
        </w:rPr>
        <w:t>Die Schifffahrt bemüht sich, Emissionen zu senken. Der vermehrte Einsatz von Kraftstoffe</w:t>
      </w:r>
      <w:r w:rsidR="00002286">
        <w:rPr>
          <w:rFonts w:eastAsiaTheme="minorHAnsi" w:cs="Arial"/>
          <w:lang w:val="de-DE"/>
        </w:rPr>
        <w:t>n mit geringerem Schwefelanteil</w:t>
      </w:r>
      <w:r w:rsidR="000D793C" w:rsidRPr="00B07412">
        <w:rPr>
          <w:rFonts w:eastAsiaTheme="minorHAnsi" w:cs="Arial"/>
          <w:lang w:val="de-DE"/>
        </w:rPr>
        <w:t xml:space="preserve"> führte jedoch zu Energieproblemen.</w:t>
      </w:r>
      <w:r w:rsidRPr="00B07412">
        <w:rPr>
          <w:rFonts w:eastAsiaTheme="minorHAnsi" w:cs="Arial"/>
          <w:lang w:val="de-DE"/>
        </w:rPr>
        <w:t xml:space="preserve"> AGCS beobachtete ein</w:t>
      </w:r>
      <w:r w:rsidR="00002286">
        <w:rPr>
          <w:rFonts w:eastAsiaTheme="minorHAnsi" w:cs="Arial"/>
          <w:lang w:val="de-DE"/>
        </w:rPr>
        <w:t>en</w:t>
      </w:r>
      <w:r w:rsidRPr="00B07412">
        <w:rPr>
          <w:rFonts w:eastAsiaTheme="minorHAnsi" w:cs="Arial"/>
          <w:lang w:val="de-DE"/>
        </w:rPr>
        <w:t xml:space="preserve"> Anstieg der Maschinenschäden in Zusammenhang mit </w:t>
      </w:r>
      <w:r w:rsidR="000D793C" w:rsidRPr="00B07412">
        <w:rPr>
          <w:rFonts w:eastAsiaTheme="minorHAnsi" w:cs="Arial"/>
          <w:lang w:val="de-DE"/>
        </w:rPr>
        <w:t xml:space="preserve">dem </w:t>
      </w:r>
      <w:r w:rsidRPr="00B07412">
        <w:rPr>
          <w:rFonts w:eastAsiaTheme="minorHAnsi" w:cs="Arial"/>
          <w:lang w:val="de-DE"/>
        </w:rPr>
        <w:t>Kraftstoff.</w:t>
      </w:r>
    </w:p>
    <w:p w:rsidR="00A67857" w:rsidRPr="00B07412" w:rsidRDefault="00A67857" w:rsidP="00612CF4">
      <w:pPr>
        <w:pStyle w:val="Listenabsatz"/>
        <w:numPr>
          <w:ilvl w:val="0"/>
          <w:numId w:val="9"/>
        </w:numPr>
        <w:spacing w:line="360" w:lineRule="auto"/>
        <w:rPr>
          <w:rFonts w:eastAsiaTheme="minorHAnsi" w:cs="Arial"/>
          <w:lang w:val="de-DE"/>
        </w:rPr>
      </w:pPr>
      <w:r w:rsidRPr="00B07412">
        <w:rPr>
          <w:rFonts w:eastAsiaTheme="minorHAnsi" w:cs="Arial"/>
          <w:b/>
          <w:lang w:val="de-DE"/>
        </w:rPr>
        <w:t xml:space="preserve">Steigende Anzahl an Unglücken in den Gewässern des Polarkreises: </w:t>
      </w:r>
      <w:r w:rsidRPr="00B07412">
        <w:rPr>
          <w:rFonts w:eastAsiaTheme="minorHAnsi" w:cs="Arial"/>
          <w:lang w:val="de-DE"/>
        </w:rPr>
        <w:t>Im Laufe des Jahres 2015 wurden über 70 Schiffsunglücke in den Gewässern des Polarkreises gemeldet – im Jahresvergleich entspricht dies einem Anstieg von 30 Prozent, dem höchsten in diesem Jahrzehnt. Die Einführung des Polar Codes wird stark begrüßt, es bleiben jedoch Sicherheitsfragen zu optimalen Verfahren und Sanierung.</w:t>
      </w:r>
    </w:p>
    <w:p w:rsidR="00B50DD4" w:rsidRPr="00394973" w:rsidRDefault="00B50DD4" w:rsidP="00A6236A">
      <w:pPr>
        <w:pStyle w:val="Copytext"/>
        <w:spacing w:after="0"/>
        <w:rPr>
          <w:lang w:val="de-DE"/>
        </w:rPr>
      </w:pPr>
    </w:p>
    <w:p w:rsidR="00394973" w:rsidRPr="00B07412" w:rsidRDefault="00394973" w:rsidP="00394973">
      <w:pPr>
        <w:rPr>
          <w:color w:val="1F497D"/>
          <w:lang w:val="it-IT"/>
        </w:rPr>
      </w:pPr>
      <w:proofErr w:type="spellStart"/>
      <w:r w:rsidRPr="00B07412">
        <w:rPr>
          <w:rFonts w:cs="Arial (W1)"/>
          <w:b/>
          <w:bCs/>
          <w:lang w:val="it-IT"/>
        </w:rPr>
        <w:t>Über</w:t>
      </w:r>
      <w:proofErr w:type="spellEnd"/>
      <w:r w:rsidRPr="00B07412">
        <w:rPr>
          <w:rFonts w:cs="Arial (W1)"/>
          <w:b/>
          <w:bCs/>
          <w:lang w:val="it-IT"/>
        </w:rPr>
        <w:t xml:space="preserve"> die Allianz Global Corporate &amp; </w:t>
      </w:r>
      <w:proofErr w:type="spellStart"/>
      <w:r w:rsidRPr="00B07412">
        <w:rPr>
          <w:rFonts w:cs="Arial (W1)"/>
          <w:b/>
          <w:bCs/>
          <w:lang w:val="it-IT"/>
        </w:rPr>
        <w:t>Specialty</w:t>
      </w:r>
      <w:proofErr w:type="spellEnd"/>
    </w:p>
    <w:p w:rsidR="00394973" w:rsidRPr="003D2E7A" w:rsidRDefault="00394973" w:rsidP="00394973">
      <w:pPr>
        <w:pStyle w:val="Copytext"/>
        <w:spacing w:after="0" w:line="240" w:lineRule="auto"/>
        <w:rPr>
          <w:rFonts w:ascii="Arial" w:hAnsi="Arial" w:cs="Arial"/>
          <w:sz w:val="22"/>
          <w:szCs w:val="22"/>
          <w:lang w:val="de-DE"/>
        </w:rPr>
      </w:pPr>
      <w:r w:rsidRPr="003D2E7A">
        <w:rPr>
          <w:rFonts w:ascii="Arial" w:hAnsi="Arial" w:cs="Arial"/>
          <w:sz w:val="22"/>
          <w:szCs w:val="22"/>
          <w:lang w:val="de-DE"/>
        </w:rPr>
        <w:t xml:space="preserve">Allianz Global Corporate &amp; Specialty (AGCS) SE ist die eigene Marke der Allianz Gruppe für Firmen- und Spezialrisiken. Die AGCS bietet Versicherungs- und Risikomanagementberatung über das gesamte Spektrum von Spezialversicherung, ART und Firmengeschäft: Marine, Aviation (inkl. Space), </w:t>
      </w:r>
      <w:proofErr w:type="spellStart"/>
      <w:r w:rsidRPr="003D2E7A">
        <w:rPr>
          <w:rFonts w:ascii="Arial" w:hAnsi="Arial" w:cs="Arial"/>
          <w:sz w:val="22"/>
          <w:szCs w:val="22"/>
          <w:lang w:val="de-DE"/>
        </w:rPr>
        <w:t>Energy</w:t>
      </w:r>
      <w:proofErr w:type="spellEnd"/>
      <w:r w:rsidRPr="003D2E7A">
        <w:rPr>
          <w:rFonts w:ascii="Arial" w:hAnsi="Arial" w:cs="Arial"/>
          <w:sz w:val="22"/>
          <w:szCs w:val="22"/>
          <w:lang w:val="de-DE"/>
        </w:rPr>
        <w:t xml:space="preserve">, Engineering, Entertainment, Financial Lines (inkl. D&amp;O), </w:t>
      </w:r>
      <w:proofErr w:type="spellStart"/>
      <w:r w:rsidRPr="003D2E7A">
        <w:rPr>
          <w:rFonts w:ascii="Arial" w:hAnsi="Arial" w:cs="Arial"/>
          <w:sz w:val="22"/>
          <w:szCs w:val="22"/>
          <w:lang w:val="de-DE"/>
        </w:rPr>
        <w:t>Liability</w:t>
      </w:r>
      <w:proofErr w:type="spellEnd"/>
      <w:r w:rsidRPr="003D2E7A">
        <w:rPr>
          <w:rFonts w:ascii="Arial" w:hAnsi="Arial" w:cs="Arial"/>
          <w:sz w:val="22"/>
          <w:szCs w:val="22"/>
          <w:lang w:val="de-DE"/>
        </w:rPr>
        <w:t>, Mid-Corporate und Property (sowie Internationale Versicherungsprogramme).</w:t>
      </w:r>
    </w:p>
    <w:p w:rsidR="00394973" w:rsidRPr="003D2E7A" w:rsidRDefault="00394973" w:rsidP="00394973">
      <w:pPr>
        <w:pStyle w:val="Copytext"/>
        <w:spacing w:after="0" w:line="240" w:lineRule="auto"/>
        <w:rPr>
          <w:rFonts w:ascii="Arial" w:hAnsi="Arial" w:cs="Arial"/>
          <w:sz w:val="22"/>
          <w:szCs w:val="22"/>
          <w:lang w:val="de-DE"/>
        </w:rPr>
      </w:pPr>
    </w:p>
    <w:p w:rsidR="00394973" w:rsidRPr="003D2E7A" w:rsidRDefault="00394973" w:rsidP="00394973">
      <w:pPr>
        <w:pStyle w:val="StandardWeb"/>
        <w:spacing w:before="0" w:beforeAutospacing="0" w:after="0" w:afterAutospacing="0"/>
        <w:rPr>
          <w:rFonts w:ascii="Arial" w:hAnsi="Arial" w:cs="Arial"/>
          <w:sz w:val="22"/>
          <w:szCs w:val="22"/>
          <w:lang w:val="de-DE"/>
        </w:rPr>
      </w:pPr>
      <w:r w:rsidRPr="003D2E7A">
        <w:rPr>
          <w:rFonts w:ascii="Arial" w:hAnsi="Arial" w:cs="Arial"/>
          <w:sz w:val="22"/>
          <w:szCs w:val="22"/>
          <w:lang w:val="de-DE"/>
        </w:rPr>
        <w:t>Weltweit operiert die AGCS in 2</w:t>
      </w:r>
      <w:r w:rsidR="00B07412" w:rsidRPr="003D2E7A">
        <w:rPr>
          <w:rFonts w:ascii="Arial" w:hAnsi="Arial" w:cs="Arial"/>
          <w:sz w:val="22"/>
          <w:szCs w:val="22"/>
          <w:lang w:val="de-DE"/>
        </w:rPr>
        <w:t>9</w:t>
      </w:r>
      <w:r w:rsidRPr="003D2E7A">
        <w:rPr>
          <w:rFonts w:ascii="Arial" w:hAnsi="Arial" w:cs="Arial"/>
          <w:sz w:val="22"/>
          <w:szCs w:val="22"/>
          <w:lang w:val="de-DE"/>
        </w:rPr>
        <w:t xml:space="preserve"> Ländern mit eigenen Einheiten und in mehr als 160 Ländern über das Netzwerk der Allianz Gruppe und andere Partner. 201</w:t>
      </w:r>
      <w:r w:rsidR="00B07412" w:rsidRPr="003D2E7A">
        <w:rPr>
          <w:rFonts w:ascii="Arial" w:hAnsi="Arial" w:cs="Arial"/>
          <w:sz w:val="22"/>
          <w:szCs w:val="22"/>
          <w:lang w:val="de-DE"/>
        </w:rPr>
        <w:t>5</w:t>
      </w:r>
      <w:r w:rsidRPr="003D2E7A">
        <w:rPr>
          <w:rFonts w:ascii="Arial" w:hAnsi="Arial" w:cs="Arial"/>
          <w:sz w:val="22"/>
          <w:szCs w:val="22"/>
          <w:lang w:val="de-DE"/>
        </w:rPr>
        <w:t xml:space="preserve"> beschäftigte sie über </w:t>
      </w:r>
      <w:r w:rsidR="00B07412" w:rsidRPr="003D2E7A">
        <w:rPr>
          <w:rFonts w:ascii="Arial" w:hAnsi="Arial" w:cs="Arial"/>
          <w:sz w:val="22"/>
          <w:szCs w:val="22"/>
          <w:lang w:val="de-DE"/>
        </w:rPr>
        <w:t>50</w:t>
      </w:r>
      <w:r w:rsidRPr="003D2E7A">
        <w:rPr>
          <w:rFonts w:ascii="Arial" w:hAnsi="Arial" w:cs="Arial"/>
          <w:sz w:val="22"/>
          <w:szCs w:val="22"/>
          <w:lang w:val="de-DE"/>
        </w:rPr>
        <w:t xml:space="preserve">00 Mitarbeiter und lieferte Versicherungslösungen für mehr als die Hälfte der Fortune Global 500-Unternehmen; sie zeichnete weltweit insgesamt </w:t>
      </w:r>
      <w:r w:rsidR="00B07412" w:rsidRPr="003D2E7A">
        <w:rPr>
          <w:rFonts w:ascii="Arial" w:hAnsi="Arial" w:cs="Arial"/>
          <w:sz w:val="22"/>
          <w:szCs w:val="22"/>
          <w:lang w:val="de-DE"/>
        </w:rPr>
        <w:t>8,1</w:t>
      </w:r>
      <w:r w:rsidRPr="003D2E7A">
        <w:rPr>
          <w:rFonts w:ascii="Arial" w:hAnsi="Arial" w:cs="Arial"/>
          <w:sz w:val="22"/>
          <w:szCs w:val="22"/>
          <w:lang w:val="de-DE"/>
        </w:rPr>
        <w:t xml:space="preserve"> Milliarden Euro Bruttoprämien pro Jahr.</w:t>
      </w:r>
    </w:p>
    <w:p w:rsidR="00394973" w:rsidRPr="003D2E7A" w:rsidRDefault="00394973" w:rsidP="00394973">
      <w:pPr>
        <w:pStyle w:val="Copytext"/>
        <w:spacing w:after="0" w:line="240" w:lineRule="auto"/>
        <w:rPr>
          <w:rFonts w:ascii="Arial" w:hAnsi="Arial" w:cs="Arial"/>
          <w:sz w:val="22"/>
          <w:szCs w:val="22"/>
          <w:lang w:val="de-DE"/>
        </w:rPr>
      </w:pPr>
    </w:p>
    <w:p w:rsidR="00394973" w:rsidRPr="003D2E7A" w:rsidRDefault="00394973" w:rsidP="00394973">
      <w:pPr>
        <w:pStyle w:val="StandardWeb"/>
        <w:spacing w:before="0" w:beforeAutospacing="0" w:after="0" w:afterAutospacing="0"/>
        <w:rPr>
          <w:rFonts w:ascii="Arial" w:hAnsi="Arial" w:cs="Arial"/>
          <w:sz w:val="22"/>
          <w:szCs w:val="22"/>
          <w:lang w:val="de-DE"/>
        </w:rPr>
      </w:pPr>
      <w:r w:rsidRPr="003D2E7A">
        <w:rPr>
          <w:rFonts w:ascii="Arial" w:hAnsi="Arial" w:cs="Arial"/>
          <w:sz w:val="22"/>
          <w:szCs w:val="22"/>
          <w:lang w:val="de-DE"/>
        </w:rPr>
        <w:t xml:space="preserve">Die AGCS SE verfügt über die Bonitätsratings AA von Standard &amp; </w:t>
      </w:r>
      <w:proofErr w:type="spellStart"/>
      <w:r w:rsidRPr="003D2E7A">
        <w:rPr>
          <w:rFonts w:ascii="Arial" w:hAnsi="Arial" w:cs="Arial"/>
          <w:sz w:val="22"/>
          <w:szCs w:val="22"/>
          <w:lang w:val="de-DE"/>
        </w:rPr>
        <w:t>Poor’s</w:t>
      </w:r>
      <w:proofErr w:type="spellEnd"/>
      <w:r w:rsidRPr="003D2E7A">
        <w:rPr>
          <w:rFonts w:ascii="Arial" w:hAnsi="Arial" w:cs="Arial"/>
          <w:sz w:val="22"/>
          <w:szCs w:val="22"/>
          <w:lang w:val="de-DE"/>
        </w:rPr>
        <w:t xml:space="preserve"> und A+ von A.M.</w:t>
      </w:r>
      <w:r w:rsidR="00B07412" w:rsidRPr="003D2E7A">
        <w:rPr>
          <w:rFonts w:ascii="Arial" w:hAnsi="Arial" w:cs="Arial"/>
          <w:sz w:val="22"/>
          <w:szCs w:val="22"/>
          <w:lang w:val="de-DE"/>
        </w:rPr>
        <w:t xml:space="preserve"> </w:t>
      </w:r>
      <w:r w:rsidRPr="003D2E7A">
        <w:rPr>
          <w:rFonts w:ascii="Arial" w:hAnsi="Arial" w:cs="Arial"/>
          <w:sz w:val="22"/>
          <w:szCs w:val="22"/>
          <w:lang w:val="de-DE"/>
        </w:rPr>
        <w:t>Best.</w:t>
      </w:r>
    </w:p>
    <w:p w:rsidR="00394973" w:rsidRPr="003D2E7A" w:rsidRDefault="00394973" w:rsidP="00394973">
      <w:pPr>
        <w:pStyle w:val="Copytext"/>
        <w:spacing w:after="0" w:line="240" w:lineRule="auto"/>
        <w:rPr>
          <w:rFonts w:ascii="Arial" w:hAnsi="Arial" w:cs="Arial"/>
          <w:sz w:val="22"/>
          <w:szCs w:val="22"/>
          <w:lang w:val="de-DE"/>
        </w:rPr>
      </w:pPr>
    </w:p>
    <w:p w:rsidR="00394973" w:rsidRPr="003D2E7A" w:rsidRDefault="00394973" w:rsidP="00394973">
      <w:pPr>
        <w:pStyle w:val="Copytext"/>
        <w:spacing w:after="0" w:line="240" w:lineRule="auto"/>
        <w:rPr>
          <w:rFonts w:cs="Arial (W1)"/>
          <w:sz w:val="22"/>
          <w:szCs w:val="22"/>
          <w:lang w:val="de-DE"/>
        </w:rPr>
      </w:pPr>
      <w:r w:rsidRPr="003D2E7A">
        <w:rPr>
          <w:rFonts w:cs="Arial (W1)"/>
          <w:bCs/>
          <w:sz w:val="22"/>
          <w:szCs w:val="22"/>
          <w:lang w:val="de-DE"/>
        </w:rPr>
        <w:t>Weitere Informationen finden Sie unter</w:t>
      </w:r>
      <w:hyperlink r:id="rId9" w:history="1">
        <w:r w:rsidRPr="003D2E7A">
          <w:rPr>
            <w:rStyle w:val="Hyperlink"/>
            <w:rFonts w:cs="Arial (W1)"/>
            <w:b/>
            <w:sz w:val="22"/>
            <w:szCs w:val="22"/>
            <w:lang w:val="de-DE"/>
          </w:rPr>
          <w:t xml:space="preserve">www.agcs.allianz.com </w:t>
        </w:r>
      </w:hyperlink>
      <w:r w:rsidRPr="003D2E7A">
        <w:rPr>
          <w:rFonts w:cs="Arial (W1)"/>
          <w:b/>
          <w:sz w:val="22"/>
          <w:szCs w:val="22"/>
          <w:lang w:val="de-DE"/>
        </w:rPr>
        <w:t xml:space="preserve"> </w:t>
      </w:r>
      <w:r w:rsidRPr="003D2E7A">
        <w:rPr>
          <w:rFonts w:cs="Arial (W1)"/>
          <w:sz w:val="22"/>
          <w:szCs w:val="22"/>
          <w:lang w:val="de-DE"/>
        </w:rPr>
        <w:t xml:space="preserve">oder folgen Sie uns auf </w:t>
      </w:r>
      <w:proofErr w:type="spellStart"/>
      <w:r w:rsidRPr="003D2E7A">
        <w:rPr>
          <w:rFonts w:cs="Arial (W1)"/>
          <w:sz w:val="22"/>
          <w:szCs w:val="22"/>
          <w:lang w:val="de-DE"/>
        </w:rPr>
        <w:t>Twitter</w:t>
      </w:r>
      <w:hyperlink r:id="rId10" w:history="1">
        <w:r w:rsidRPr="003D2E7A">
          <w:rPr>
            <w:rStyle w:val="Hyperlink"/>
            <w:rFonts w:cs="Arial (W1)"/>
            <w:b/>
            <w:sz w:val="22"/>
            <w:szCs w:val="22"/>
            <w:lang w:val="de-DE"/>
          </w:rPr>
          <w:t>@AGCS_Insurance</w:t>
        </w:r>
        <w:proofErr w:type="spellEnd"/>
      </w:hyperlink>
      <w:r w:rsidRPr="003D2E7A">
        <w:rPr>
          <w:rFonts w:cs="Arial (W1)"/>
          <w:sz w:val="22"/>
          <w:szCs w:val="22"/>
          <w:lang w:val="de-DE"/>
        </w:rPr>
        <w:t xml:space="preserve"> </w:t>
      </w:r>
      <w:hyperlink r:id="rId11" w:history="1">
        <w:r w:rsidRPr="003D2E7A">
          <w:rPr>
            <w:rStyle w:val="Hyperlink"/>
            <w:rFonts w:cs="Arial (W1)"/>
            <w:b/>
            <w:sz w:val="22"/>
            <w:szCs w:val="22"/>
            <w:lang w:val="de-DE"/>
          </w:rPr>
          <w:t>LinkedIn</w:t>
        </w:r>
      </w:hyperlink>
      <w:r w:rsidRPr="003D2E7A">
        <w:rPr>
          <w:rFonts w:cs="Arial (W1)"/>
          <w:b/>
          <w:sz w:val="22"/>
          <w:szCs w:val="22"/>
          <w:lang w:val="de-DE"/>
        </w:rPr>
        <w:t xml:space="preserve"> </w:t>
      </w:r>
      <w:r w:rsidRPr="003D2E7A">
        <w:rPr>
          <w:rFonts w:cs="Arial (W1)"/>
          <w:sz w:val="22"/>
          <w:szCs w:val="22"/>
          <w:lang w:val="de-DE"/>
        </w:rPr>
        <w:t xml:space="preserve">und </w:t>
      </w:r>
      <w:hyperlink r:id="rId12" w:history="1">
        <w:r w:rsidRPr="003D2E7A">
          <w:rPr>
            <w:rStyle w:val="Hyperlink"/>
            <w:rFonts w:cs="Arial (W1)"/>
            <w:b/>
            <w:sz w:val="22"/>
            <w:szCs w:val="22"/>
            <w:lang w:val="de-DE"/>
          </w:rPr>
          <w:t>Google+.</w:t>
        </w:r>
      </w:hyperlink>
    </w:p>
    <w:p w:rsidR="00256026" w:rsidRPr="00394973" w:rsidRDefault="00256026" w:rsidP="0040181A">
      <w:pPr>
        <w:pStyle w:val="Copytext"/>
        <w:spacing w:after="0" w:line="240" w:lineRule="auto"/>
        <w:rPr>
          <w:rFonts w:cs="Arial (W1)"/>
          <w:b/>
          <w:lang w:val="de-DE"/>
        </w:rPr>
      </w:pPr>
    </w:p>
    <w:p w:rsidR="0040181A" w:rsidRPr="00394973" w:rsidRDefault="0040181A" w:rsidP="0040181A">
      <w:pPr>
        <w:pStyle w:val="berschrift3"/>
        <w:rPr>
          <w:rFonts w:ascii="Arial (W1)" w:hAnsi="Arial (W1)" w:cs="Times New Roman"/>
          <w:bCs w:val="0"/>
          <w:sz w:val="20"/>
          <w:szCs w:val="20"/>
          <w:lang w:val="de-DE"/>
        </w:rPr>
      </w:pPr>
      <w:r w:rsidRPr="00394973">
        <w:rPr>
          <w:rFonts w:ascii="Arial (W1)" w:hAnsi="Arial (W1)" w:cs="Times New Roman"/>
          <w:bCs w:val="0"/>
          <w:sz w:val="20"/>
          <w:szCs w:val="20"/>
          <w:lang w:val="de-DE"/>
        </w:rPr>
        <w:t>Vorbehalt bei Zukunftsaussagen</w:t>
      </w:r>
    </w:p>
    <w:p w:rsidR="0040181A" w:rsidRPr="00394973" w:rsidRDefault="0040181A" w:rsidP="0040181A">
      <w:pPr>
        <w:pStyle w:val="StandardWeb"/>
        <w:rPr>
          <w:rFonts w:ascii="Arial (W1)" w:hAnsi="Arial (W1)" w:cs="AllianzSerif-Light"/>
          <w:sz w:val="16"/>
          <w:szCs w:val="16"/>
          <w:lang w:val="de-DE"/>
        </w:rPr>
      </w:pPr>
      <w:r w:rsidRPr="00394973">
        <w:rPr>
          <w:rFonts w:ascii="Arial (W1)" w:hAnsi="Arial (W1)" w:cs="AllianzSerif-Light"/>
          <w:sz w:val="16"/>
          <w:szCs w:val="16"/>
          <w:lang w:val="de-DE"/>
        </w:rPr>
        <w:t>Die hier gemachten Erklärungen beinhalten möglicherweise Aussagen zu auf die Zukunft gerichtete Erwartungen oder sonstige Feststellungen, die auf der derzeitigen Sichtweise und Annahme der Geschäftsführung beruhen und bekannte und unbekannte Risiken und Unsicherheiten bergen, die zu erheblichen Abweichungen bei den tatsächlichen Ergebnissen, Wertentwicklungen oder Ereignissen gegenüber den in diesen Aussagen ausgedrückten oder implizierten Erklärungen führen können. Zusätzlich zu den aufgrund des Kontextes in die Zukunft gerichteten Behauptungen, sind sich auf die Zukunft beziehende Aussagen durch die Wörter "könnten", "werden", "dürften", "erwarten", "planen", "beabsichtigen", "antizipieren", "glauben", "schätzen", "vorhersagen", "möglich" oder "fortsetzen" und ähnliche Ausdrücke erkennbar.</w:t>
      </w:r>
    </w:p>
    <w:p w:rsidR="0040181A" w:rsidRPr="00394973" w:rsidRDefault="0040181A" w:rsidP="0040181A">
      <w:pPr>
        <w:pStyle w:val="StandardWeb"/>
        <w:rPr>
          <w:rFonts w:ascii="Arial (W1)" w:hAnsi="Arial (W1)" w:cs="AllianzSerif-Light"/>
          <w:sz w:val="16"/>
          <w:szCs w:val="16"/>
          <w:lang w:val="de-DE"/>
        </w:rPr>
      </w:pPr>
      <w:r w:rsidRPr="00394973">
        <w:rPr>
          <w:rFonts w:ascii="Arial (W1)" w:hAnsi="Arial (W1)" w:cs="AllianzSerif-Light"/>
          <w:sz w:val="16"/>
          <w:szCs w:val="16"/>
          <w:lang w:val="de-DE"/>
        </w:rPr>
        <w:t xml:space="preserve">Die tatsächlichen Ergebnisse, Wertenwicklung oder Ereignisse können erheblich von den Angaben in diesen Aussagen abweichen und zwar u.a. aufgrund (i) der allgemeinen Wirtschaftslage, einschließlich spezieller wirtschaftlicher Bedingungen bei Kerngeschäft und -märkten der Allianz Gruppe, (ii) der Wertentwicklung der Finanzmärkte, einschließlich der Schwellenländer sowie auch der Marktvolatilität, Liquidität und Kredite betreffenden Ereignisse (iii) der Häufigkeit und Schwere der versicherten Schadenereignisse, einschließlich solcher, die auf Naturkatastrophen zurückgehen, sowie der Entwicklung der </w:t>
      </w:r>
      <w:r w:rsidRPr="00394973">
        <w:rPr>
          <w:rFonts w:ascii="Arial (W1)" w:hAnsi="Arial (W1)" w:cs="AllianzSerif-Light"/>
          <w:sz w:val="16"/>
          <w:szCs w:val="16"/>
          <w:lang w:val="de-DE"/>
        </w:rPr>
        <w:lastRenderedPageBreak/>
        <w:t>Schadenaufwendungen, (iv) Sterblichkeits- und Krankheitsraten bzw. -tendenzen, (v) Stornoraten, (vi) der Ausfallrate von Kreditnehmern, (vii) Änderungen des Zinsniveaus, (viii) Wechselkursen, einschließlich des Euro/US- Dollar-Kurses, (ix) wechselnder Konkurrenzniveaus, (x) Änderungen von Gesetzen und Bestimmungen, einschließlich geldwirtschaftlicher Konvergenz und Europäischer Währungsunion, (xi) Änderungen bei der Politik der Zentralbanken und/oder ausländischer Regierungen, (xii) die Auswirkung von Akquisitionen, einschließlich anschließender Integrationsmaßnahmen, (xiii) Restrukturierungsmaßnahmen, sowie (xiv) allgemeinen Wettbewerbsfaktoren. Terroranschläge und deren Folgen können die Wahrscheinlichkeit und das Ausmaß von Abweichungen erhöhen.</w:t>
      </w:r>
    </w:p>
    <w:p w:rsidR="001354B4" w:rsidRPr="00394973" w:rsidRDefault="0040181A" w:rsidP="009E4625">
      <w:pPr>
        <w:pStyle w:val="StandardWeb"/>
        <w:rPr>
          <w:rFonts w:ascii="Arial (W1)" w:hAnsi="Arial (W1)" w:cs="AllianzSerif-Light"/>
          <w:sz w:val="16"/>
          <w:szCs w:val="16"/>
          <w:lang w:val="de-DE"/>
        </w:rPr>
      </w:pPr>
      <w:r w:rsidRPr="00394973">
        <w:rPr>
          <w:rFonts w:ascii="Arial (W1)" w:hAnsi="Arial (W1)" w:cs="AllianzSerif-Light"/>
          <w:sz w:val="16"/>
          <w:szCs w:val="16"/>
          <w:lang w:val="de-DE"/>
        </w:rPr>
        <w:t xml:space="preserve">Die hier besprochenen Angelegenheiten können auch von Risiken und Unsicherheiten betroffen sein, wie sie von Zeit zu Zeit in den von der der Allianz SE hinterlegten Unterlagen bei der US-amerikanischen Securities </w:t>
      </w:r>
      <w:proofErr w:type="spellStart"/>
      <w:r w:rsidRPr="00394973">
        <w:rPr>
          <w:rFonts w:ascii="Arial (W1)" w:hAnsi="Arial (W1)" w:cs="AllianzSerif-Light"/>
          <w:sz w:val="16"/>
          <w:szCs w:val="16"/>
          <w:lang w:val="de-DE"/>
        </w:rPr>
        <w:t>and</w:t>
      </w:r>
      <w:proofErr w:type="spellEnd"/>
      <w:r w:rsidRPr="00394973">
        <w:rPr>
          <w:rFonts w:ascii="Arial (W1)" w:hAnsi="Arial (W1)" w:cs="AllianzSerif-Light"/>
          <w:sz w:val="16"/>
          <w:szCs w:val="16"/>
          <w:lang w:val="de-DE"/>
        </w:rPr>
        <w:t xml:space="preserve"> Exchange </w:t>
      </w:r>
      <w:proofErr w:type="spellStart"/>
      <w:r w:rsidRPr="00394973">
        <w:rPr>
          <w:rFonts w:ascii="Arial (W1)" w:hAnsi="Arial (W1)" w:cs="AllianzSerif-Light"/>
          <w:sz w:val="16"/>
          <w:szCs w:val="16"/>
          <w:lang w:val="de-DE"/>
        </w:rPr>
        <w:t>Commission</w:t>
      </w:r>
      <w:proofErr w:type="spellEnd"/>
      <w:r w:rsidRPr="00394973">
        <w:rPr>
          <w:rFonts w:ascii="Arial (W1)" w:hAnsi="Arial (W1)" w:cs="AllianzSerif-Light"/>
          <w:sz w:val="16"/>
          <w:szCs w:val="16"/>
          <w:lang w:val="de-DE"/>
        </w:rPr>
        <w:t xml:space="preserve"> beschrieben werden. Das Unternehmen sieht sich nicht verpflichtet, in die Zukunft gerichtete Aussagen zu aktualisieren.</w:t>
      </w:r>
    </w:p>
    <w:sectPr w:rsidR="001354B4" w:rsidRPr="00394973" w:rsidSect="00DB5A60">
      <w:footerReference w:type="default" r:id="rId13"/>
      <w:headerReference w:type="first" r:id="rId14"/>
      <w:footerReference w:type="first" r:id="rId15"/>
      <w:pgSz w:w="11906" w:h="16838" w:code="9"/>
      <w:pgMar w:top="1418" w:right="1418" w:bottom="1134" w:left="1418" w:header="119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9A" w:rsidRDefault="001F209A">
      <w:r>
        <w:separator/>
      </w:r>
    </w:p>
  </w:endnote>
  <w:endnote w:type="continuationSeparator" w:id="0">
    <w:p w:rsidR="001F209A" w:rsidRDefault="001F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lianz Sans">
    <w:panose1 w:val="02000506030000020004"/>
    <w:charset w:val="00"/>
    <w:family w:val="auto"/>
    <w:pitch w:val="variable"/>
    <w:sig w:usb0="800000AF" w:usb1="5000214A" w:usb2="00000010" w:usb3="00000000" w:csb0="00000011" w:csb1="00000000"/>
  </w:font>
  <w:font w:name="Calibri">
    <w:panose1 w:val="020F0502020204030204"/>
    <w:charset w:val="00"/>
    <w:family w:val="swiss"/>
    <w:pitch w:val="variable"/>
    <w:sig w:usb0="E00002FF" w:usb1="4000ACFF" w:usb2="00000001" w:usb3="00000000" w:csb0="0000019F" w:csb1="00000000"/>
  </w:font>
  <w:font w:name="AllianzSerif-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EC" w:rsidRPr="002A7134" w:rsidRDefault="00A723EC">
    <w:pPr>
      <w:pStyle w:val="Fuzeile"/>
      <w:rPr>
        <w:sz w:val="16"/>
        <w:szCs w:val="16"/>
        <w:lang w:val="en-GB"/>
      </w:rPr>
    </w:pPr>
    <w:r>
      <w:tab/>
    </w:r>
    <w:r>
      <w:tab/>
    </w:r>
    <w:proofErr w:type="spellStart"/>
    <w:r>
      <w:rPr>
        <w:sz w:val="16"/>
        <w:szCs w:val="16"/>
      </w:rPr>
      <w:t>Seite</w:t>
    </w:r>
    <w:proofErr w:type="spellEnd"/>
    <w:r>
      <w:rPr>
        <w:sz w:val="16"/>
        <w:szCs w:val="16"/>
      </w:rPr>
      <w:t xml:space="preserve"> </w:t>
    </w:r>
    <w:r>
      <w:fldChar w:fldCharType="begin"/>
    </w:r>
    <w:r>
      <w:instrText xml:space="preserve"> PAGE </w:instrText>
    </w:r>
    <w:r>
      <w:fldChar w:fldCharType="separate"/>
    </w:r>
    <w:r w:rsidR="005978D6">
      <w:rPr>
        <w:noProof/>
      </w:rPr>
      <w:t>2</w:t>
    </w:r>
    <w:r>
      <w:fldChar w:fldCharType="end"/>
    </w:r>
    <w:r>
      <w:rPr>
        <w:rStyle w:val="Seitenzahl"/>
        <w:sz w:val="16"/>
        <w:szCs w:val="16"/>
      </w:rPr>
      <w:t xml:space="preserve"> von </w:t>
    </w:r>
    <w:r w:rsidR="005978D6">
      <w:fldChar w:fldCharType="begin"/>
    </w:r>
    <w:r w:rsidR="005978D6">
      <w:instrText xml:space="preserve"> NUMPAGES </w:instrText>
    </w:r>
    <w:r w:rsidR="005978D6">
      <w:fldChar w:fldCharType="separate"/>
    </w:r>
    <w:r w:rsidR="005978D6">
      <w:rPr>
        <w:noProof/>
      </w:rPr>
      <w:t>5</w:t>
    </w:r>
    <w:r w:rsidR="005978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EC" w:rsidRDefault="00A723EC" w:rsidP="00364AE7">
    <w:pPr>
      <w:pStyle w:val="Fuzeile"/>
      <w:spacing w:line="200" w:lineRule="exact"/>
      <w:rPr>
        <w:rFonts w:cs="Arial"/>
        <w:sz w:val="15"/>
        <w:szCs w:val="15"/>
      </w:rPr>
    </w:pPr>
  </w:p>
  <w:p w:rsidR="00A723EC" w:rsidRPr="002A7134" w:rsidRDefault="00A723EC" w:rsidP="00364AE7">
    <w:pPr>
      <w:pStyle w:val="Fuzeile"/>
      <w:spacing w:line="200" w:lineRule="exact"/>
      <w:rPr>
        <w:sz w:val="15"/>
        <w:szCs w:val="15"/>
      </w:rPr>
    </w:pPr>
    <w:r>
      <w:rPr>
        <w:rFonts w:cs="Arial"/>
        <w:sz w:val="15"/>
        <w:szCs w:val="15"/>
      </w:rPr>
      <w:t xml:space="preserve">Allianz Global Corporate &amp; Specialty </w:t>
    </w:r>
    <w:r>
      <w:rPr>
        <w:rFonts w:cs="Arial"/>
        <w:sz w:val="15"/>
        <w:szCs w:val="15"/>
      </w:rPr>
      <w:tab/>
    </w:r>
    <w:r>
      <w:rPr>
        <w:rFonts w:cs="Arial"/>
        <w:sz w:val="15"/>
        <w:szCs w:val="15"/>
      </w:rPr>
      <w:tab/>
    </w:r>
    <w:proofErr w:type="spellStart"/>
    <w:r>
      <w:rPr>
        <w:rFonts w:cs="Arial"/>
        <w:sz w:val="15"/>
        <w:szCs w:val="15"/>
      </w:rPr>
      <w:t>Seite</w:t>
    </w:r>
    <w:proofErr w:type="spellEnd"/>
    <w:r>
      <w:rPr>
        <w:rFonts w:cs="Arial"/>
        <w:sz w:val="15"/>
        <w:szCs w:val="15"/>
      </w:rPr>
      <w:t xml:space="preserve"> </w:t>
    </w:r>
    <w:r>
      <w:fldChar w:fldCharType="begin"/>
    </w:r>
    <w:r>
      <w:instrText xml:space="preserve"> PAGE </w:instrText>
    </w:r>
    <w:r>
      <w:fldChar w:fldCharType="separate"/>
    </w:r>
    <w:r w:rsidR="005978D6">
      <w:rPr>
        <w:noProof/>
      </w:rPr>
      <w:t>1</w:t>
    </w:r>
    <w:r>
      <w:fldChar w:fldCharType="end"/>
    </w:r>
    <w:r>
      <w:rPr>
        <w:rStyle w:val="Seitenzahl"/>
        <w:sz w:val="15"/>
        <w:szCs w:val="15"/>
      </w:rPr>
      <w:t xml:space="preserve"> von </w:t>
    </w:r>
    <w:r w:rsidR="005978D6">
      <w:fldChar w:fldCharType="begin"/>
    </w:r>
    <w:r w:rsidR="005978D6">
      <w:instrText xml:space="preserve"> NUMPAGES </w:instrText>
    </w:r>
    <w:r w:rsidR="005978D6">
      <w:fldChar w:fldCharType="separate"/>
    </w:r>
    <w:r w:rsidR="005978D6">
      <w:rPr>
        <w:noProof/>
      </w:rPr>
      <w:t>5</w:t>
    </w:r>
    <w:r w:rsidR="005978D6">
      <w:rPr>
        <w:noProof/>
      </w:rPr>
      <w:fldChar w:fldCharType="end"/>
    </w:r>
  </w:p>
  <w:p w:rsidR="00A723EC" w:rsidRDefault="00A723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9A" w:rsidRDefault="001F209A">
      <w:r>
        <w:separator/>
      </w:r>
    </w:p>
  </w:footnote>
  <w:footnote w:type="continuationSeparator" w:id="0">
    <w:p w:rsidR="001F209A" w:rsidRDefault="001F209A">
      <w:r>
        <w:continuationSeparator/>
      </w:r>
    </w:p>
  </w:footnote>
  <w:footnote w:id="1">
    <w:p w:rsidR="00A723EC" w:rsidRPr="0049404D" w:rsidRDefault="00A723EC" w:rsidP="00B07412">
      <w:pPr>
        <w:pStyle w:val="Funotentext"/>
        <w:rPr>
          <w:lang w:val="en-GB"/>
        </w:rPr>
      </w:pPr>
      <w:r>
        <w:rPr>
          <w:rStyle w:val="Funotenzeichen"/>
        </w:rPr>
        <w:footnoteRef/>
      </w:r>
      <w:r>
        <w:t xml:space="preserve"> International Maritime Bureau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EC" w:rsidRPr="008C0895" w:rsidRDefault="00A723EC" w:rsidP="008C0895">
    <w:pPr>
      <w:spacing w:after="80"/>
      <w:rPr>
        <w:rFonts w:ascii="Arial (W1)" w:hAnsi="Arial (W1)"/>
        <w:spacing w:val="2"/>
        <w:sz w:val="24"/>
        <w:szCs w:val="24"/>
        <w:lang w:val="de-DE"/>
      </w:rPr>
    </w:pPr>
    <w:r>
      <w:rPr>
        <w:noProof/>
        <w:lang w:val="de-DE" w:eastAsia="de-DE"/>
      </w:rPr>
      <w:drawing>
        <wp:anchor distT="0" distB="0" distL="114300" distR="114300" simplePos="0" relativeHeight="251657216" behindDoc="1" locked="0" layoutInCell="0" allowOverlap="1" wp14:anchorId="3365652C" wp14:editId="53E729F1">
          <wp:simplePos x="0" y="0"/>
          <wp:positionH relativeFrom="page">
            <wp:posOffset>5796915</wp:posOffset>
          </wp:positionH>
          <wp:positionV relativeFrom="page">
            <wp:posOffset>252095</wp:posOffset>
          </wp:positionV>
          <wp:extent cx="1259840" cy="318770"/>
          <wp:effectExtent l="0" t="0" r="0" b="5080"/>
          <wp:wrapNone/>
          <wp:docPr id="2" name="Picture 1" descr="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973">
      <w:rPr>
        <w:rFonts w:ascii="Arial (W1)" w:hAnsi="Arial (W1)" w:cs="Arial (W1)"/>
        <w:spacing w:val="2"/>
        <w:sz w:val="24"/>
        <w:szCs w:val="24"/>
        <w:lang w:val="de-DE"/>
      </w:rPr>
      <w:t>Allianz Global Corporate &amp; Specialty</w:t>
    </w:r>
  </w:p>
  <w:p w:rsidR="00A723EC" w:rsidRDefault="00A723EC" w:rsidP="00364AE7">
    <w:pPr>
      <w:spacing w:after="80"/>
      <w:rPr>
        <w:rFonts w:ascii="Arial (W1)" w:hAnsi="Arial (W1)"/>
        <w:spacing w:val="1"/>
        <w:sz w:val="19"/>
        <w:szCs w:val="19"/>
      </w:rPr>
    </w:pPr>
  </w:p>
  <w:p w:rsidR="00A723EC" w:rsidRPr="00335FD4" w:rsidRDefault="00A723EC" w:rsidP="00364AE7">
    <w:pPr>
      <w:rPr>
        <w:rFonts w:ascii="Arial (W1)" w:hAnsi="Arial (W1)"/>
        <w:color w:val="808080"/>
        <w:spacing w:val="1"/>
        <w:sz w:val="78"/>
        <w:szCs w:val="78"/>
        <w:lang w:val="de-DE"/>
      </w:rPr>
    </w:pPr>
    <w:r w:rsidRPr="00335FD4">
      <w:rPr>
        <w:noProof/>
        <w:lang w:val="de-DE" w:eastAsia="de-DE"/>
      </w:rPr>
      <mc:AlternateContent>
        <mc:Choice Requires="wps">
          <w:drawing>
            <wp:anchor distT="0" distB="0" distL="114300" distR="114300" simplePos="0" relativeHeight="251658240" behindDoc="0" locked="0" layoutInCell="0" allowOverlap="1" wp14:anchorId="6640DE09" wp14:editId="6192F727">
              <wp:simplePos x="0" y="0"/>
              <wp:positionH relativeFrom="page">
                <wp:posOffset>252095</wp:posOffset>
              </wp:positionH>
              <wp:positionV relativeFrom="page">
                <wp:posOffset>3672205</wp:posOffset>
              </wp:positionV>
              <wp:extent cx="419100" cy="6070600"/>
              <wp:effectExtent l="4445"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3EC" w:rsidRDefault="00A723EC" w:rsidP="00364AE7">
                          <w:r>
                            <w:rPr>
                              <w:rFonts w:cs="Arial"/>
                            </w:rPr>
                            <w:t>.</w:t>
                          </w:r>
                        </w:p>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Pr="00EC4C8B" w:rsidRDefault="00A723EC" w:rsidP="00364AE7">
                          <w:pPr>
                            <w:rPr>
                              <w:sz w:val="12"/>
                              <w:szCs w:val="12"/>
                            </w:rPr>
                          </w:pPr>
                        </w:p>
                        <w:p w:rsidR="00A723EC" w:rsidRDefault="00A723EC" w:rsidP="00364AE7">
                          <w:r>
                            <w:rPr>
                              <w:rFonts w:cs="Arial"/>
                            </w:rPr>
                            <w:t>.</w:t>
                          </w:r>
                        </w:p>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Pr>
                            <w:rPr>
                              <w:sz w:val="8"/>
                              <w:szCs w:val="8"/>
                            </w:rPr>
                          </w:pPr>
                        </w:p>
                        <w:p w:rsidR="00A723EC" w:rsidRDefault="00A723EC" w:rsidP="00364AE7">
                          <w:pPr>
                            <w:rPr>
                              <w:sz w:val="8"/>
                              <w:szCs w:val="8"/>
                            </w:rPr>
                          </w:pPr>
                        </w:p>
                        <w:p w:rsidR="00A723EC" w:rsidRDefault="00A723EC" w:rsidP="00364AE7"/>
                        <w:p w:rsidR="00A723EC" w:rsidRPr="00AA3EF2" w:rsidRDefault="00A723EC" w:rsidP="00364AE7">
                          <w:pPr>
                            <w:rPr>
                              <w:sz w:val="4"/>
                              <w:szCs w:val="4"/>
                            </w:rPr>
                          </w:pPr>
                        </w:p>
                        <w:p w:rsidR="00A723EC" w:rsidRDefault="00A723EC" w:rsidP="00364AE7">
                          <w:r>
                            <w:rPr>
                              <w:rFonts w:cs="Arial"/>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289.15pt;width:33pt;height:4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" o:allowincell="f" filled="f" stroked="f">
              <v:textbox inset="0,0,,0">
                <w:txbxContent>
                  <w:p w:rsidR="00A723EC" w:rsidRDefault="00A723EC" w:rsidP="00364AE7">
                    <w:r>
                      <w:rPr>
                        <w:rFonts w:cs="Arial"/>
                      </w:rPr>
                      <w:t>.</w:t>
                    </w:r>
                  </w:p>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Pr="00EC4C8B" w:rsidRDefault="00A723EC" w:rsidP="00364AE7">
                    <w:pPr>
                      <w:rPr>
                        <w:sz w:val="12"/>
                        <w:szCs w:val="12"/>
                      </w:rPr>
                    </w:pPr>
                  </w:p>
                  <w:p w:rsidR="00A723EC" w:rsidRDefault="00A723EC" w:rsidP="00364AE7">
                    <w:r>
                      <w:rPr>
                        <w:rFonts w:cs="Arial"/>
                      </w:rPr>
                      <w:t>.</w:t>
                    </w:r>
                  </w:p>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 w:rsidR="00A723EC" w:rsidRDefault="00A723EC" w:rsidP="00364AE7">
                    <w:pPr>
                      <w:rPr>
                        <w:sz w:val="8"/>
                        <w:szCs w:val="8"/>
                      </w:rPr>
                    </w:pPr>
                  </w:p>
                  <w:p w:rsidR="00A723EC" w:rsidRDefault="00A723EC" w:rsidP="00364AE7">
                    <w:pPr>
                      <w:rPr>
                        <w:sz w:val="8"/>
                        <w:szCs w:val="8"/>
                      </w:rPr>
                    </w:pPr>
                  </w:p>
                  <w:p w:rsidR="00A723EC" w:rsidRDefault="00A723EC" w:rsidP="00364AE7"/>
                  <w:p w:rsidR="00A723EC" w:rsidRPr="00AA3EF2" w:rsidRDefault="00A723EC" w:rsidP="00364AE7">
                    <w:pPr>
                      <w:rPr>
                        <w:sz w:val="4"/>
                        <w:szCs w:val="4"/>
                      </w:rPr>
                    </w:pPr>
                  </w:p>
                  <w:p w:rsidR="00A723EC" w:rsidRDefault="00A723EC" w:rsidP="00364AE7">
                    <w:r>
                      <w:rPr>
                        <w:rFonts w:cs="Arial"/>
                      </w:rPr>
                      <w:t>.</w:t>
                    </w:r>
                  </w:p>
                </w:txbxContent>
              </v:textbox>
              <w10:wrap type="square" anchorx="page" anchory="page"/>
            </v:shape>
          </w:pict>
        </mc:Fallback>
      </mc:AlternateContent>
    </w:r>
    <w:r w:rsidRPr="00335FD4">
      <w:rPr>
        <w:rFonts w:ascii="Arial (W1)" w:hAnsi="Arial (W1)" w:cs="Arial (W1)"/>
        <w:color w:val="808080"/>
        <w:spacing w:val="1"/>
        <w:sz w:val="78"/>
        <w:szCs w:val="78"/>
        <w:lang w:val="de-DE"/>
      </w:rPr>
      <w:t>Pressemitteilung</w:t>
    </w:r>
  </w:p>
  <w:p w:rsidR="00A723EC" w:rsidRDefault="00A723EC">
    <w:pPr>
      <w:pStyle w:val="Kopfzeile"/>
    </w:pPr>
  </w:p>
  <w:p w:rsidR="00A723EC" w:rsidRDefault="00A723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E6C"/>
    <w:multiLevelType w:val="hybridMultilevel"/>
    <w:tmpl w:val="64C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43F5A"/>
    <w:multiLevelType w:val="hybridMultilevel"/>
    <w:tmpl w:val="66B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36F0E"/>
    <w:multiLevelType w:val="hybridMultilevel"/>
    <w:tmpl w:val="685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356D8"/>
    <w:multiLevelType w:val="hybridMultilevel"/>
    <w:tmpl w:val="CB146562"/>
    <w:lvl w:ilvl="0" w:tplc="ADDED0C0">
      <w:start w:val="1"/>
      <w:numFmt w:val="bullet"/>
      <w:lvlText w:val=""/>
      <w:lvlJc w:val="left"/>
      <w:pPr>
        <w:ind w:left="360" w:hanging="360"/>
      </w:pPr>
      <w:rPr>
        <w:rFonts w:ascii="Wingdings" w:hAnsi="Wingdings" w:hint="default"/>
        <w:b w:val="0"/>
        <w:i w:val="0"/>
        <w:color w:val="113388"/>
        <w:spacing w:val="60"/>
        <w:sz w:val="20"/>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2D7447"/>
    <w:multiLevelType w:val="hybridMultilevel"/>
    <w:tmpl w:val="054A5230"/>
    <w:lvl w:ilvl="0" w:tplc="C61CA3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390348"/>
    <w:multiLevelType w:val="hybridMultilevel"/>
    <w:tmpl w:val="0EF8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0E04"/>
    <w:multiLevelType w:val="hybridMultilevel"/>
    <w:tmpl w:val="5A748DB6"/>
    <w:lvl w:ilvl="0" w:tplc="12F4686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70CB5B59"/>
    <w:multiLevelType w:val="hybridMultilevel"/>
    <w:tmpl w:val="70EA368A"/>
    <w:lvl w:ilvl="0" w:tplc="0809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6A"/>
    <w:rsid w:val="0000110D"/>
    <w:rsid w:val="00001EEF"/>
    <w:rsid w:val="00002065"/>
    <w:rsid w:val="00002286"/>
    <w:rsid w:val="000029F7"/>
    <w:rsid w:val="000043C3"/>
    <w:rsid w:val="000043F7"/>
    <w:rsid w:val="00005166"/>
    <w:rsid w:val="000057BD"/>
    <w:rsid w:val="00005EDB"/>
    <w:rsid w:val="00006AD0"/>
    <w:rsid w:val="00006B7B"/>
    <w:rsid w:val="00007360"/>
    <w:rsid w:val="00007E51"/>
    <w:rsid w:val="000104DE"/>
    <w:rsid w:val="00010A12"/>
    <w:rsid w:val="00011A3F"/>
    <w:rsid w:val="00012E88"/>
    <w:rsid w:val="00015347"/>
    <w:rsid w:val="00016134"/>
    <w:rsid w:val="000173E0"/>
    <w:rsid w:val="000203E4"/>
    <w:rsid w:val="00020F43"/>
    <w:rsid w:val="00021909"/>
    <w:rsid w:val="00021DEE"/>
    <w:rsid w:val="000225CD"/>
    <w:rsid w:val="00024CD8"/>
    <w:rsid w:val="00024E7F"/>
    <w:rsid w:val="00026E9F"/>
    <w:rsid w:val="00031391"/>
    <w:rsid w:val="00034541"/>
    <w:rsid w:val="00034CEE"/>
    <w:rsid w:val="000352A3"/>
    <w:rsid w:val="00035CB1"/>
    <w:rsid w:val="00035FE2"/>
    <w:rsid w:val="00036242"/>
    <w:rsid w:val="00037198"/>
    <w:rsid w:val="00037EF7"/>
    <w:rsid w:val="00040C20"/>
    <w:rsid w:val="00041B19"/>
    <w:rsid w:val="00043FCC"/>
    <w:rsid w:val="00044BBD"/>
    <w:rsid w:val="00045034"/>
    <w:rsid w:val="000462A4"/>
    <w:rsid w:val="000463F0"/>
    <w:rsid w:val="00046475"/>
    <w:rsid w:val="000468A1"/>
    <w:rsid w:val="00047213"/>
    <w:rsid w:val="000519DB"/>
    <w:rsid w:val="00051A39"/>
    <w:rsid w:val="00052F59"/>
    <w:rsid w:val="00054B3B"/>
    <w:rsid w:val="00055A53"/>
    <w:rsid w:val="00055D74"/>
    <w:rsid w:val="0005655F"/>
    <w:rsid w:val="0005707E"/>
    <w:rsid w:val="00057F86"/>
    <w:rsid w:val="00060547"/>
    <w:rsid w:val="00060D12"/>
    <w:rsid w:val="00061BD0"/>
    <w:rsid w:val="00061C1C"/>
    <w:rsid w:val="00061D8B"/>
    <w:rsid w:val="00062F44"/>
    <w:rsid w:val="0006452A"/>
    <w:rsid w:val="00065107"/>
    <w:rsid w:val="00065262"/>
    <w:rsid w:val="00067277"/>
    <w:rsid w:val="00070132"/>
    <w:rsid w:val="000712C2"/>
    <w:rsid w:val="00072FF6"/>
    <w:rsid w:val="0007379C"/>
    <w:rsid w:val="00073E00"/>
    <w:rsid w:val="0007401B"/>
    <w:rsid w:val="000755B8"/>
    <w:rsid w:val="00076159"/>
    <w:rsid w:val="000771DA"/>
    <w:rsid w:val="00080CDC"/>
    <w:rsid w:val="0008127F"/>
    <w:rsid w:val="00082CBE"/>
    <w:rsid w:val="00084024"/>
    <w:rsid w:val="00084B22"/>
    <w:rsid w:val="000856F5"/>
    <w:rsid w:val="0008581E"/>
    <w:rsid w:val="000858AF"/>
    <w:rsid w:val="00085AE6"/>
    <w:rsid w:val="0008708A"/>
    <w:rsid w:val="000876DA"/>
    <w:rsid w:val="000911D4"/>
    <w:rsid w:val="00091535"/>
    <w:rsid w:val="00091E3F"/>
    <w:rsid w:val="00093473"/>
    <w:rsid w:val="00093529"/>
    <w:rsid w:val="00093CED"/>
    <w:rsid w:val="000A1C0E"/>
    <w:rsid w:val="000A1DB7"/>
    <w:rsid w:val="000A3AB3"/>
    <w:rsid w:val="000A3F4A"/>
    <w:rsid w:val="000A6579"/>
    <w:rsid w:val="000A6C40"/>
    <w:rsid w:val="000A7BC1"/>
    <w:rsid w:val="000B072E"/>
    <w:rsid w:val="000B127A"/>
    <w:rsid w:val="000B1793"/>
    <w:rsid w:val="000B20E7"/>
    <w:rsid w:val="000B2EA7"/>
    <w:rsid w:val="000B3FA3"/>
    <w:rsid w:val="000B4A53"/>
    <w:rsid w:val="000B5478"/>
    <w:rsid w:val="000B60FC"/>
    <w:rsid w:val="000B6617"/>
    <w:rsid w:val="000C01E7"/>
    <w:rsid w:val="000C150C"/>
    <w:rsid w:val="000C347B"/>
    <w:rsid w:val="000C3EBD"/>
    <w:rsid w:val="000D151A"/>
    <w:rsid w:val="000D214D"/>
    <w:rsid w:val="000D216D"/>
    <w:rsid w:val="000D268D"/>
    <w:rsid w:val="000D280A"/>
    <w:rsid w:val="000D2B90"/>
    <w:rsid w:val="000D4816"/>
    <w:rsid w:val="000D5634"/>
    <w:rsid w:val="000D5E84"/>
    <w:rsid w:val="000D75AD"/>
    <w:rsid w:val="000D793C"/>
    <w:rsid w:val="000D7A4D"/>
    <w:rsid w:val="000E0E51"/>
    <w:rsid w:val="000E1135"/>
    <w:rsid w:val="000E230A"/>
    <w:rsid w:val="000E2571"/>
    <w:rsid w:val="000E2EC7"/>
    <w:rsid w:val="000E33C2"/>
    <w:rsid w:val="000E42F4"/>
    <w:rsid w:val="000E7459"/>
    <w:rsid w:val="000F07DF"/>
    <w:rsid w:val="000F0E95"/>
    <w:rsid w:val="000F159F"/>
    <w:rsid w:val="000F28E8"/>
    <w:rsid w:val="000F3415"/>
    <w:rsid w:val="000F3738"/>
    <w:rsid w:val="000F3804"/>
    <w:rsid w:val="000F3BF3"/>
    <w:rsid w:val="000F4349"/>
    <w:rsid w:val="000F4433"/>
    <w:rsid w:val="000F4A95"/>
    <w:rsid w:val="000F6D1E"/>
    <w:rsid w:val="001013AA"/>
    <w:rsid w:val="001023F0"/>
    <w:rsid w:val="00102FB2"/>
    <w:rsid w:val="00103B1C"/>
    <w:rsid w:val="00103E63"/>
    <w:rsid w:val="00104706"/>
    <w:rsid w:val="001049C1"/>
    <w:rsid w:val="001057C6"/>
    <w:rsid w:val="00105C2F"/>
    <w:rsid w:val="00105FE7"/>
    <w:rsid w:val="0010674A"/>
    <w:rsid w:val="00106BA6"/>
    <w:rsid w:val="0010740C"/>
    <w:rsid w:val="00111A6C"/>
    <w:rsid w:val="00111E94"/>
    <w:rsid w:val="00115096"/>
    <w:rsid w:val="001155AC"/>
    <w:rsid w:val="00115CC7"/>
    <w:rsid w:val="00115E7F"/>
    <w:rsid w:val="001166EF"/>
    <w:rsid w:val="00120333"/>
    <w:rsid w:val="00122A0D"/>
    <w:rsid w:val="00122A5E"/>
    <w:rsid w:val="00123052"/>
    <w:rsid w:val="0012566A"/>
    <w:rsid w:val="0012579B"/>
    <w:rsid w:val="00126B4C"/>
    <w:rsid w:val="00130351"/>
    <w:rsid w:val="001322B1"/>
    <w:rsid w:val="00134B02"/>
    <w:rsid w:val="001354B4"/>
    <w:rsid w:val="00136B2B"/>
    <w:rsid w:val="00136CBD"/>
    <w:rsid w:val="00136D1F"/>
    <w:rsid w:val="0014067D"/>
    <w:rsid w:val="00140826"/>
    <w:rsid w:val="0014148D"/>
    <w:rsid w:val="00141BD0"/>
    <w:rsid w:val="00141FB1"/>
    <w:rsid w:val="0014355D"/>
    <w:rsid w:val="00144BFA"/>
    <w:rsid w:val="001458BF"/>
    <w:rsid w:val="00147382"/>
    <w:rsid w:val="00147820"/>
    <w:rsid w:val="00147A97"/>
    <w:rsid w:val="001503CB"/>
    <w:rsid w:val="0015176F"/>
    <w:rsid w:val="00153214"/>
    <w:rsid w:val="00153648"/>
    <w:rsid w:val="00153EA3"/>
    <w:rsid w:val="0015416F"/>
    <w:rsid w:val="001545AB"/>
    <w:rsid w:val="00155684"/>
    <w:rsid w:val="00155FBB"/>
    <w:rsid w:val="0015672A"/>
    <w:rsid w:val="00156DAE"/>
    <w:rsid w:val="0015705D"/>
    <w:rsid w:val="00160BAD"/>
    <w:rsid w:val="001612E7"/>
    <w:rsid w:val="00162038"/>
    <w:rsid w:val="0016320D"/>
    <w:rsid w:val="001633A9"/>
    <w:rsid w:val="0016349D"/>
    <w:rsid w:val="001639F4"/>
    <w:rsid w:val="00163CCA"/>
    <w:rsid w:val="0016415D"/>
    <w:rsid w:val="001649E3"/>
    <w:rsid w:val="00164B90"/>
    <w:rsid w:val="00165AA4"/>
    <w:rsid w:val="00167789"/>
    <w:rsid w:val="001708D4"/>
    <w:rsid w:val="00170FAD"/>
    <w:rsid w:val="00171A8D"/>
    <w:rsid w:val="001722A3"/>
    <w:rsid w:val="00172B3D"/>
    <w:rsid w:val="001734EF"/>
    <w:rsid w:val="00175155"/>
    <w:rsid w:val="001752AB"/>
    <w:rsid w:val="00175839"/>
    <w:rsid w:val="00175ED1"/>
    <w:rsid w:val="001767A3"/>
    <w:rsid w:val="00176FC9"/>
    <w:rsid w:val="00177315"/>
    <w:rsid w:val="001803EA"/>
    <w:rsid w:val="001813BB"/>
    <w:rsid w:val="00181B97"/>
    <w:rsid w:val="00181EC6"/>
    <w:rsid w:val="0018255D"/>
    <w:rsid w:val="00184F69"/>
    <w:rsid w:val="00185C97"/>
    <w:rsid w:val="00185F89"/>
    <w:rsid w:val="00186880"/>
    <w:rsid w:val="00186C5E"/>
    <w:rsid w:val="00187021"/>
    <w:rsid w:val="0018730E"/>
    <w:rsid w:val="001912CE"/>
    <w:rsid w:val="00191A23"/>
    <w:rsid w:val="00191AE3"/>
    <w:rsid w:val="00192EAC"/>
    <w:rsid w:val="00194AA9"/>
    <w:rsid w:val="00194E59"/>
    <w:rsid w:val="0019511B"/>
    <w:rsid w:val="001952C3"/>
    <w:rsid w:val="0019559A"/>
    <w:rsid w:val="00195DC6"/>
    <w:rsid w:val="00195EAF"/>
    <w:rsid w:val="00196453"/>
    <w:rsid w:val="00196DEC"/>
    <w:rsid w:val="001A11CE"/>
    <w:rsid w:val="001A33BE"/>
    <w:rsid w:val="001A4DE9"/>
    <w:rsid w:val="001A5F3E"/>
    <w:rsid w:val="001A7FB0"/>
    <w:rsid w:val="001B092C"/>
    <w:rsid w:val="001B0AFB"/>
    <w:rsid w:val="001B1787"/>
    <w:rsid w:val="001B25C6"/>
    <w:rsid w:val="001B3A70"/>
    <w:rsid w:val="001B3F10"/>
    <w:rsid w:val="001B4415"/>
    <w:rsid w:val="001B5253"/>
    <w:rsid w:val="001B5A1E"/>
    <w:rsid w:val="001B5D1B"/>
    <w:rsid w:val="001B7747"/>
    <w:rsid w:val="001C0624"/>
    <w:rsid w:val="001C0984"/>
    <w:rsid w:val="001C29B6"/>
    <w:rsid w:val="001C35CB"/>
    <w:rsid w:val="001C4990"/>
    <w:rsid w:val="001C5164"/>
    <w:rsid w:val="001C5838"/>
    <w:rsid w:val="001C5F8C"/>
    <w:rsid w:val="001C790D"/>
    <w:rsid w:val="001D1C1C"/>
    <w:rsid w:val="001D2062"/>
    <w:rsid w:val="001D2EFA"/>
    <w:rsid w:val="001D3401"/>
    <w:rsid w:val="001D390F"/>
    <w:rsid w:val="001D3B42"/>
    <w:rsid w:val="001D3B6A"/>
    <w:rsid w:val="001D6A0F"/>
    <w:rsid w:val="001D6F65"/>
    <w:rsid w:val="001D7158"/>
    <w:rsid w:val="001E4760"/>
    <w:rsid w:val="001E5B53"/>
    <w:rsid w:val="001E5F2E"/>
    <w:rsid w:val="001E6290"/>
    <w:rsid w:val="001E7928"/>
    <w:rsid w:val="001F0E2C"/>
    <w:rsid w:val="001F209A"/>
    <w:rsid w:val="001F25E5"/>
    <w:rsid w:val="001F2FE3"/>
    <w:rsid w:val="001F3DC7"/>
    <w:rsid w:val="001F42C6"/>
    <w:rsid w:val="001F4323"/>
    <w:rsid w:val="001F6FEC"/>
    <w:rsid w:val="002004DF"/>
    <w:rsid w:val="0020065C"/>
    <w:rsid w:val="00200831"/>
    <w:rsid w:val="00200F94"/>
    <w:rsid w:val="002013B3"/>
    <w:rsid w:val="00201854"/>
    <w:rsid w:val="002022C1"/>
    <w:rsid w:val="002040D0"/>
    <w:rsid w:val="002040EC"/>
    <w:rsid w:val="00204748"/>
    <w:rsid w:val="0020481A"/>
    <w:rsid w:val="00204938"/>
    <w:rsid w:val="00204A77"/>
    <w:rsid w:val="00204B5E"/>
    <w:rsid w:val="0020582C"/>
    <w:rsid w:val="002060E8"/>
    <w:rsid w:val="00206862"/>
    <w:rsid w:val="00206EEE"/>
    <w:rsid w:val="00214388"/>
    <w:rsid w:val="002146EE"/>
    <w:rsid w:val="00214D85"/>
    <w:rsid w:val="002171FB"/>
    <w:rsid w:val="00217845"/>
    <w:rsid w:val="00217926"/>
    <w:rsid w:val="00220F53"/>
    <w:rsid w:val="00221105"/>
    <w:rsid w:val="0022113D"/>
    <w:rsid w:val="00221422"/>
    <w:rsid w:val="002214D1"/>
    <w:rsid w:val="00221585"/>
    <w:rsid w:val="002219CD"/>
    <w:rsid w:val="00222AFA"/>
    <w:rsid w:val="0022329B"/>
    <w:rsid w:val="002241B8"/>
    <w:rsid w:val="00225A2A"/>
    <w:rsid w:val="00226812"/>
    <w:rsid w:val="0022750B"/>
    <w:rsid w:val="002279DB"/>
    <w:rsid w:val="00227BFF"/>
    <w:rsid w:val="00230DE9"/>
    <w:rsid w:val="00230DF0"/>
    <w:rsid w:val="00230F3C"/>
    <w:rsid w:val="00231361"/>
    <w:rsid w:val="00231992"/>
    <w:rsid w:val="0023275D"/>
    <w:rsid w:val="0023314A"/>
    <w:rsid w:val="00233E17"/>
    <w:rsid w:val="0023582E"/>
    <w:rsid w:val="00235D1B"/>
    <w:rsid w:val="00236382"/>
    <w:rsid w:val="002367E1"/>
    <w:rsid w:val="00236BC2"/>
    <w:rsid w:val="00236F43"/>
    <w:rsid w:val="0023785D"/>
    <w:rsid w:val="00237EEE"/>
    <w:rsid w:val="002414CC"/>
    <w:rsid w:val="00243489"/>
    <w:rsid w:val="002434ED"/>
    <w:rsid w:val="00243836"/>
    <w:rsid w:val="0024394A"/>
    <w:rsid w:val="00244551"/>
    <w:rsid w:val="002445F8"/>
    <w:rsid w:val="00244D25"/>
    <w:rsid w:val="00246CF0"/>
    <w:rsid w:val="002477C5"/>
    <w:rsid w:val="00251D81"/>
    <w:rsid w:val="00252A1C"/>
    <w:rsid w:val="002536F5"/>
    <w:rsid w:val="00254230"/>
    <w:rsid w:val="00254362"/>
    <w:rsid w:val="00254E1F"/>
    <w:rsid w:val="0025531B"/>
    <w:rsid w:val="002558A0"/>
    <w:rsid w:val="00256026"/>
    <w:rsid w:val="002607BB"/>
    <w:rsid w:val="00260D3D"/>
    <w:rsid w:val="00261F2D"/>
    <w:rsid w:val="0026200F"/>
    <w:rsid w:val="002647FF"/>
    <w:rsid w:val="00264EDA"/>
    <w:rsid w:val="002655E4"/>
    <w:rsid w:val="00265BC0"/>
    <w:rsid w:val="00267257"/>
    <w:rsid w:val="00270AEF"/>
    <w:rsid w:val="002713BB"/>
    <w:rsid w:val="002718A5"/>
    <w:rsid w:val="002723D4"/>
    <w:rsid w:val="00272707"/>
    <w:rsid w:val="0027274E"/>
    <w:rsid w:val="0027359B"/>
    <w:rsid w:val="00273DE8"/>
    <w:rsid w:val="00277F85"/>
    <w:rsid w:val="00280E26"/>
    <w:rsid w:val="00281F6B"/>
    <w:rsid w:val="00282153"/>
    <w:rsid w:val="00282196"/>
    <w:rsid w:val="00282A0B"/>
    <w:rsid w:val="00283050"/>
    <w:rsid w:val="00284731"/>
    <w:rsid w:val="00284CBA"/>
    <w:rsid w:val="00284DD6"/>
    <w:rsid w:val="00285660"/>
    <w:rsid w:val="002859DF"/>
    <w:rsid w:val="00285C54"/>
    <w:rsid w:val="00287351"/>
    <w:rsid w:val="00287EC3"/>
    <w:rsid w:val="00290A6A"/>
    <w:rsid w:val="002911AF"/>
    <w:rsid w:val="002911CE"/>
    <w:rsid w:val="002954AE"/>
    <w:rsid w:val="00296758"/>
    <w:rsid w:val="0029691D"/>
    <w:rsid w:val="0029700D"/>
    <w:rsid w:val="00297473"/>
    <w:rsid w:val="00297DCF"/>
    <w:rsid w:val="002A0252"/>
    <w:rsid w:val="002A296D"/>
    <w:rsid w:val="002A389F"/>
    <w:rsid w:val="002A464C"/>
    <w:rsid w:val="002A51AE"/>
    <w:rsid w:val="002A53DD"/>
    <w:rsid w:val="002A5760"/>
    <w:rsid w:val="002A7134"/>
    <w:rsid w:val="002B04FA"/>
    <w:rsid w:val="002B05C3"/>
    <w:rsid w:val="002B1F9F"/>
    <w:rsid w:val="002B259B"/>
    <w:rsid w:val="002B5210"/>
    <w:rsid w:val="002B7053"/>
    <w:rsid w:val="002C050C"/>
    <w:rsid w:val="002C0A2F"/>
    <w:rsid w:val="002C0A64"/>
    <w:rsid w:val="002C159A"/>
    <w:rsid w:val="002C2759"/>
    <w:rsid w:val="002C759C"/>
    <w:rsid w:val="002C7EC2"/>
    <w:rsid w:val="002D03AD"/>
    <w:rsid w:val="002D1010"/>
    <w:rsid w:val="002D172E"/>
    <w:rsid w:val="002D1B90"/>
    <w:rsid w:val="002D3D8F"/>
    <w:rsid w:val="002D406D"/>
    <w:rsid w:val="002D40AA"/>
    <w:rsid w:val="002D4E9F"/>
    <w:rsid w:val="002D589A"/>
    <w:rsid w:val="002D65C2"/>
    <w:rsid w:val="002D6633"/>
    <w:rsid w:val="002D6C6F"/>
    <w:rsid w:val="002D79D2"/>
    <w:rsid w:val="002D7F83"/>
    <w:rsid w:val="002E0384"/>
    <w:rsid w:val="002E10D6"/>
    <w:rsid w:val="002E11CD"/>
    <w:rsid w:val="002E13CC"/>
    <w:rsid w:val="002E374F"/>
    <w:rsid w:val="002E3D09"/>
    <w:rsid w:val="002E4E37"/>
    <w:rsid w:val="002E5046"/>
    <w:rsid w:val="002F205A"/>
    <w:rsid w:val="002F2173"/>
    <w:rsid w:val="002F2C0C"/>
    <w:rsid w:val="002F392B"/>
    <w:rsid w:val="002F541D"/>
    <w:rsid w:val="002F7351"/>
    <w:rsid w:val="00300786"/>
    <w:rsid w:val="00301F4A"/>
    <w:rsid w:val="00302849"/>
    <w:rsid w:val="00303AE4"/>
    <w:rsid w:val="00304232"/>
    <w:rsid w:val="003050AE"/>
    <w:rsid w:val="003056E9"/>
    <w:rsid w:val="003059B6"/>
    <w:rsid w:val="00306340"/>
    <w:rsid w:val="00307EC7"/>
    <w:rsid w:val="0031138D"/>
    <w:rsid w:val="0031149E"/>
    <w:rsid w:val="003123F4"/>
    <w:rsid w:val="0031282D"/>
    <w:rsid w:val="00312C8B"/>
    <w:rsid w:val="003133B9"/>
    <w:rsid w:val="003136B9"/>
    <w:rsid w:val="00313E42"/>
    <w:rsid w:val="00314D19"/>
    <w:rsid w:val="00315358"/>
    <w:rsid w:val="00315C84"/>
    <w:rsid w:val="00316F67"/>
    <w:rsid w:val="003177A4"/>
    <w:rsid w:val="003200D8"/>
    <w:rsid w:val="00320390"/>
    <w:rsid w:val="00320EBF"/>
    <w:rsid w:val="00321403"/>
    <w:rsid w:val="00321950"/>
    <w:rsid w:val="00321D87"/>
    <w:rsid w:val="00321F02"/>
    <w:rsid w:val="00322A48"/>
    <w:rsid w:val="00323914"/>
    <w:rsid w:val="00323A69"/>
    <w:rsid w:val="00324414"/>
    <w:rsid w:val="003247E9"/>
    <w:rsid w:val="003250A9"/>
    <w:rsid w:val="003261AD"/>
    <w:rsid w:val="00326ACF"/>
    <w:rsid w:val="0032717E"/>
    <w:rsid w:val="00327AF4"/>
    <w:rsid w:val="00332258"/>
    <w:rsid w:val="003326CD"/>
    <w:rsid w:val="00332807"/>
    <w:rsid w:val="003339A7"/>
    <w:rsid w:val="0033402F"/>
    <w:rsid w:val="00335358"/>
    <w:rsid w:val="00335FD4"/>
    <w:rsid w:val="00336021"/>
    <w:rsid w:val="00340538"/>
    <w:rsid w:val="003412F7"/>
    <w:rsid w:val="00342273"/>
    <w:rsid w:val="00344095"/>
    <w:rsid w:val="00344769"/>
    <w:rsid w:val="00345D85"/>
    <w:rsid w:val="00346181"/>
    <w:rsid w:val="003470B3"/>
    <w:rsid w:val="00350457"/>
    <w:rsid w:val="00350614"/>
    <w:rsid w:val="00350F42"/>
    <w:rsid w:val="00351ED7"/>
    <w:rsid w:val="003522B9"/>
    <w:rsid w:val="003530CB"/>
    <w:rsid w:val="003532C0"/>
    <w:rsid w:val="00354DEE"/>
    <w:rsid w:val="0035506A"/>
    <w:rsid w:val="00355898"/>
    <w:rsid w:val="00355917"/>
    <w:rsid w:val="00355F36"/>
    <w:rsid w:val="00357724"/>
    <w:rsid w:val="00357D37"/>
    <w:rsid w:val="00360EC2"/>
    <w:rsid w:val="00362294"/>
    <w:rsid w:val="00362F47"/>
    <w:rsid w:val="00364AE7"/>
    <w:rsid w:val="003661E9"/>
    <w:rsid w:val="003668B4"/>
    <w:rsid w:val="003669C7"/>
    <w:rsid w:val="00367557"/>
    <w:rsid w:val="00371D58"/>
    <w:rsid w:val="003720F1"/>
    <w:rsid w:val="00373477"/>
    <w:rsid w:val="00374714"/>
    <w:rsid w:val="00374A0A"/>
    <w:rsid w:val="00375BE2"/>
    <w:rsid w:val="00375D34"/>
    <w:rsid w:val="00376F36"/>
    <w:rsid w:val="0038100B"/>
    <w:rsid w:val="003813CA"/>
    <w:rsid w:val="0038292B"/>
    <w:rsid w:val="00385742"/>
    <w:rsid w:val="00387006"/>
    <w:rsid w:val="003870EF"/>
    <w:rsid w:val="00387336"/>
    <w:rsid w:val="00387661"/>
    <w:rsid w:val="003876EC"/>
    <w:rsid w:val="00387D72"/>
    <w:rsid w:val="00387EFB"/>
    <w:rsid w:val="0039082F"/>
    <w:rsid w:val="00390D11"/>
    <w:rsid w:val="00391E52"/>
    <w:rsid w:val="00391EC3"/>
    <w:rsid w:val="00392A45"/>
    <w:rsid w:val="00393C42"/>
    <w:rsid w:val="00394283"/>
    <w:rsid w:val="00394973"/>
    <w:rsid w:val="003954DA"/>
    <w:rsid w:val="00395C49"/>
    <w:rsid w:val="00396EE6"/>
    <w:rsid w:val="003972F0"/>
    <w:rsid w:val="003A0D87"/>
    <w:rsid w:val="003A1991"/>
    <w:rsid w:val="003A276C"/>
    <w:rsid w:val="003A2970"/>
    <w:rsid w:val="003A426C"/>
    <w:rsid w:val="003A451A"/>
    <w:rsid w:val="003A4757"/>
    <w:rsid w:val="003A4D63"/>
    <w:rsid w:val="003A5B66"/>
    <w:rsid w:val="003A6641"/>
    <w:rsid w:val="003A6A66"/>
    <w:rsid w:val="003A70C7"/>
    <w:rsid w:val="003A7AA4"/>
    <w:rsid w:val="003B0B95"/>
    <w:rsid w:val="003B14DA"/>
    <w:rsid w:val="003B1969"/>
    <w:rsid w:val="003B215E"/>
    <w:rsid w:val="003B2220"/>
    <w:rsid w:val="003B2420"/>
    <w:rsid w:val="003B3303"/>
    <w:rsid w:val="003B3327"/>
    <w:rsid w:val="003B4061"/>
    <w:rsid w:val="003B624A"/>
    <w:rsid w:val="003B6A11"/>
    <w:rsid w:val="003C1E4B"/>
    <w:rsid w:val="003C22FF"/>
    <w:rsid w:val="003C3CBF"/>
    <w:rsid w:val="003C43A3"/>
    <w:rsid w:val="003C4969"/>
    <w:rsid w:val="003C5E1A"/>
    <w:rsid w:val="003C7C91"/>
    <w:rsid w:val="003D076D"/>
    <w:rsid w:val="003D2E7A"/>
    <w:rsid w:val="003D4378"/>
    <w:rsid w:val="003D5D01"/>
    <w:rsid w:val="003D75EA"/>
    <w:rsid w:val="003D7A33"/>
    <w:rsid w:val="003E0394"/>
    <w:rsid w:val="003E234D"/>
    <w:rsid w:val="003E2E21"/>
    <w:rsid w:val="003E2E4C"/>
    <w:rsid w:val="003E3962"/>
    <w:rsid w:val="003E430E"/>
    <w:rsid w:val="003E6701"/>
    <w:rsid w:val="003E6F81"/>
    <w:rsid w:val="003E72E9"/>
    <w:rsid w:val="003E74F4"/>
    <w:rsid w:val="003E7BEF"/>
    <w:rsid w:val="003F06F9"/>
    <w:rsid w:val="003F10D2"/>
    <w:rsid w:val="003F117A"/>
    <w:rsid w:val="003F1AC1"/>
    <w:rsid w:val="003F267C"/>
    <w:rsid w:val="003F2710"/>
    <w:rsid w:val="003F40AC"/>
    <w:rsid w:val="003F419C"/>
    <w:rsid w:val="003F5D97"/>
    <w:rsid w:val="003F6C8F"/>
    <w:rsid w:val="0040054F"/>
    <w:rsid w:val="00400F1C"/>
    <w:rsid w:val="004010ED"/>
    <w:rsid w:val="0040181A"/>
    <w:rsid w:val="0040258F"/>
    <w:rsid w:val="00402670"/>
    <w:rsid w:val="004027ED"/>
    <w:rsid w:val="00402C84"/>
    <w:rsid w:val="00402EDE"/>
    <w:rsid w:val="004038D8"/>
    <w:rsid w:val="00403CBC"/>
    <w:rsid w:val="00404495"/>
    <w:rsid w:val="00405ACE"/>
    <w:rsid w:val="00405F39"/>
    <w:rsid w:val="0040678B"/>
    <w:rsid w:val="00407846"/>
    <w:rsid w:val="00410240"/>
    <w:rsid w:val="004119D1"/>
    <w:rsid w:val="00413C32"/>
    <w:rsid w:val="004142B4"/>
    <w:rsid w:val="004145EB"/>
    <w:rsid w:val="00416B83"/>
    <w:rsid w:val="004211AA"/>
    <w:rsid w:val="00422BF8"/>
    <w:rsid w:val="00423150"/>
    <w:rsid w:val="0042321C"/>
    <w:rsid w:val="00423A60"/>
    <w:rsid w:val="00423F41"/>
    <w:rsid w:val="00425106"/>
    <w:rsid w:val="004255E2"/>
    <w:rsid w:val="00426B75"/>
    <w:rsid w:val="00430181"/>
    <w:rsid w:val="00430229"/>
    <w:rsid w:val="004307B1"/>
    <w:rsid w:val="004311AD"/>
    <w:rsid w:val="00431783"/>
    <w:rsid w:val="00432D19"/>
    <w:rsid w:val="00432F3B"/>
    <w:rsid w:val="00432FC8"/>
    <w:rsid w:val="00433DA1"/>
    <w:rsid w:val="00434D1C"/>
    <w:rsid w:val="00436BB8"/>
    <w:rsid w:val="004401F4"/>
    <w:rsid w:val="00442F2B"/>
    <w:rsid w:val="0044361B"/>
    <w:rsid w:val="004439D7"/>
    <w:rsid w:val="0044415E"/>
    <w:rsid w:val="00446D7F"/>
    <w:rsid w:val="00452301"/>
    <w:rsid w:val="00452F13"/>
    <w:rsid w:val="0045302A"/>
    <w:rsid w:val="00455264"/>
    <w:rsid w:val="00457CF4"/>
    <w:rsid w:val="0046101A"/>
    <w:rsid w:val="00461022"/>
    <w:rsid w:val="004616BC"/>
    <w:rsid w:val="00464DA4"/>
    <w:rsid w:val="00465192"/>
    <w:rsid w:val="00465459"/>
    <w:rsid w:val="0046596E"/>
    <w:rsid w:val="00465ACB"/>
    <w:rsid w:val="0046610F"/>
    <w:rsid w:val="00467770"/>
    <w:rsid w:val="00467EE6"/>
    <w:rsid w:val="004707BA"/>
    <w:rsid w:val="00470EE3"/>
    <w:rsid w:val="00471CDD"/>
    <w:rsid w:val="00472811"/>
    <w:rsid w:val="00472E21"/>
    <w:rsid w:val="004739E1"/>
    <w:rsid w:val="0047418A"/>
    <w:rsid w:val="0047432A"/>
    <w:rsid w:val="004744E3"/>
    <w:rsid w:val="00475E93"/>
    <w:rsid w:val="004765BB"/>
    <w:rsid w:val="00476A9E"/>
    <w:rsid w:val="00481D03"/>
    <w:rsid w:val="00483EFC"/>
    <w:rsid w:val="004852AD"/>
    <w:rsid w:val="00485AB3"/>
    <w:rsid w:val="00485CBE"/>
    <w:rsid w:val="004862F9"/>
    <w:rsid w:val="00487402"/>
    <w:rsid w:val="00487FFE"/>
    <w:rsid w:val="00491E9C"/>
    <w:rsid w:val="004925C4"/>
    <w:rsid w:val="00492CC9"/>
    <w:rsid w:val="00492CDF"/>
    <w:rsid w:val="004934BA"/>
    <w:rsid w:val="00493A00"/>
    <w:rsid w:val="0049404D"/>
    <w:rsid w:val="004944A4"/>
    <w:rsid w:val="0049528F"/>
    <w:rsid w:val="00495299"/>
    <w:rsid w:val="00496132"/>
    <w:rsid w:val="004961F7"/>
    <w:rsid w:val="004962A7"/>
    <w:rsid w:val="004A0200"/>
    <w:rsid w:val="004A192E"/>
    <w:rsid w:val="004A1F50"/>
    <w:rsid w:val="004A24F6"/>
    <w:rsid w:val="004A27AA"/>
    <w:rsid w:val="004A28CC"/>
    <w:rsid w:val="004A3B22"/>
    <w:rsid w:val="004A4211"/>
    <w:rsid w:val="004A574B"/>
    <w:rsid w:val="004A5E27"/>
    <w:rsid w:val="004A7F10"/>
    <w:rsid w:val="004B06C0"/>
    <w:rsid w:val="004B187F"/>
    <w:rsid w:val="004B1AC7"/>
    <w:rsid w:val="004B23D3"/>
    <w:rsid w:val="004B2626"/>
    <w:rsid w:val="004B28C8"/>
    <w:rsid w:val="004B2CCA"/>
    <w:rsid w:val="004B5D25"/>
    <w:rsid w:val="004B5FFE"/>
    <w:rsid w:val="004B697E"/>
    <w:rsid w:val="004B78A8"/>
    <w:rsid w:val="004C14F4"/>
    <w:rsid w:val="004C23E5"/>
    <w:rsid w:val="004C2654"/>
    <w:rsid w:val="004C33F6"/>
    <w:rsid w:val="004C56E6"/>
    <w:rsid w:val="004D1191"/>
    <w:rsid w:val="004D185B"/>
    <w:rsid w:val="004D18D2"/>
    <w:rsid w:val="004D2519"/>
    <w:rsid w:val="004D2E4B"/>
    <w:rsid w:val="004D312A"/>
    <w:rsid w:val="004D3221"/>
    <w:rsid w:val="004D3631"/>
    <w:rsid w:val="004D4678"/>
    <w:rsid w:val="004D5314"/>
    <w:rsid w:val="004D5873"/>
    <w:rsid w:val="004D5951"/>
    <w:rsid w:val="004D5EE4"/>
    <w:rsid w:val="004D6244"/>
    <w:rsid w:val="004D638C"/>
    <w:rsid w:val="004D67EC"/>
    <w:rsid w:val="004D7572"/>
    <w:rsid w:val="004D765C"/>
    <w:rsid w:val="004E1CDC"/>
    <w:rsid w:val="004E20BA"/>
    <w:rsid w:val="004E2601"/>
    <w:rsid w:val="004E2D79"/>
    <w:rsid w:val="004E312B"/>
    <w:rsid w:val="004E48DD"/>
    <w:rsid w:val="004E575B"/>
    <w:rsid w:val="004E5788"/>
    <w:rsid w:val="004E6740"/>
    <w:rsid w:val="004E77B1"/>
    <w:rsid w:val="004F035B"/>
    <w:rsid w:val="004F0AFF"/>
    <w:rsid w:val="004F26EB"/>
    <w:rsid w:val="004F34E6"/>
    <w:rsid w:val="004F3770"/>
    <w:rsid w:val="004F41CD"/>
    <w:rsid w:val="004F423D"/>
    <w:rsid w:val="004F4E08"/>
    <w:rsid w:val="004F516E"/>
    <w:rsid w:val="004F5BC6"/>
    <w:rsid w:val="004F5C11"/>
    <w:rsid w:val="004F5ED9"/>
    <w:rsid w:val="004F674D"/>
    <w:rsid w:val="004F717A"/>
    <w:rsid w:val="004F7CDC"/>
    <w:rsid w:val="00501013"/>
    <w:rsid w:val="005010E1"/>
    <w:rsid w:val="00502947"/>
    <w:rsid w:val="00503FE2"/>
    <w:rsid w:val="005040C6"/>
    <w:rsid w:val="00505504"/>
    <w:rsid w:val="005144B5"/>
    <w:rsid w:val="00514615"/>
    <w:rsid w:val="005146FB"/>
    <w:rsid w:val="00514F5C"/>
    <w:rsid w:val="00516874"/>
    <w:rsid w:val="00520387"/>
    <w:rsid w:val="0052046C"/>
    <w:rsid w:val="00520BF6"/>
    <w:rsid w:val="005214C8"/>
    <w:rsid w:val="005217D8"/>
    <w:rsid w:val="00521D9C"/>
    <w:rsid w:val="0052311F"/>
    <w:rsid w:val="00523551"/>
    <w:rsid w:val="005236C6"/>
    <w:rsid w:val="00523C30"/>
    <w:rsid w:val="00523EBC"/>
    <w:rsid w:val="0052439A"/>
    <w:rsid w:val="00524EDD"/>
    <w:rsid w:val="005257B3"/>
    <w:rsid w:val="005263F4"/>
    <w:rsid w:val="0052681F"/>
    <w:rsid w:val="00526CE2"/>
    <w:rsid w:val="00527451"/>
    <w:rsid w:val="0052770D"/>
    <w:rsid w:val="00527D1A"/>
    <w:rsid w:val="00530AC3"/>
    <w:rsid w:val="005355DF"/>
    <w:rsid w:val="0053587F"/>
    <w:rsid w:val="00536697"/>
    <w:rsid w:val="0053682B"/>
    <w:rsid w:val="00537E3C"/>
    <w:rsid w:val="00537F6B"/>
    <w:rsid w:val="00541A9B"/>
    <w:rsid w:val="00543A87"/>
    <w:rsid w:val="005442D7"/>
    <w:rsid w:val="005445ED"/>
    <w:rsid w:val="00544A71"/>
    <w:rsid w:val="005465E6"/>
    <w:rsid w:val="00547126"/>
    <w:rsid w:val="00547FE5"/>
    <w:rsid w:val="005502F6"/>
    <w:rsid w:val="00551DFE"/>
    <w:rsid w:val="00551F19"/>
    <w:rsid w:val="00552061"/>
    <w:rsid w:val="00552F82"/>
    <w:rsid w:val="00553DE7"/>
    <w:rsid w:val="00554439"/>
    <w:rsid w:val="00554E19"/>
    <w:rsid w:val="00555D87"/>
    <w:rsid w:val="00555DB7"/>
    <w:rsid w:val="00555DF7"/>
    <w:rsid w:val="0056093A"/>
    <w:rsid w:val="00560992"/>
    <w:rsid w:val="0056142C"/>
    <w:rsid w:val="00561846"/>
    <w:rsid w:val="00561CA9"/>
    <w:rsid w:val="00561D3B"/>
    <w:rsid w:val="005646A1"/>
    <w:rsid w:val="005648D2"/>
    <w:rsid w:val="00566DED"/>
    <w:rsid w:val="0057581D"/>
    <w:rsid w:val="0057675B"/>
    <w:rsid w:val="00576B21"/>
    <w:rsid w:val="00577014"/>
    <w:rsid w:val="005800F9"/>
    <w:rsid w:val="00580311"/>
    <w:rsid w:val="00582E7A"/>
    <w:rsid w:val="0058319C"/>
    <w:rsid w:val="00583E04"/>
    <w:rsid w:val="0058683E"/>
    <w:rsid w:val="00587007"/>
    <w:rsid w:val="00591798"/>
    <w:rsid w:val="00591AD2"/>
    <w:rsid w:val="00592F86"/>
    <w:rsid w:val="00593A2D"/>
    <w:rsid w:val="005944B1"/>
    <w:rsid w:val="00594695"/>
    <w:rsid w:val="005978D6"/>
    <w:rsid w:val="00597C05"/>
    <w:rsid w:val="005A133D"/>
    <w:rsid w:val="005A26EB"/>
    <w:rsid w:val="005A38E4"/>
    <w:rsid w:val="005A71D2"/>
    <w:rsid w:val="005B0E45"/>
    <w:rsid w:val="005B0F00"/>
    <w:rsid w:val="005B1A3C"/>
    <w:rsid w:val="005B24E5"/>
    <w:rsid w:val="005B266B"/>
    <w:rsid w:val="005B2A88"/>
    <w:rsid w:val="005B2BBF"/>
    <w:rsid w:val="005B34A0"/>
    <w:rsid w:val="005B3DA4"/>
    <w:rsid w:val="005B5FA9"/>
    <w:rsid w:val="005C3EAA"/>
    <w:rsid w:val="005C491C"/>
    <w:rsid w:val="005C4A5C"/>
    <w:rsid w:val="005C53A3"/>
    <w:rsid w:val="005C5B04"/>
    <w:rsid w:val="005C654D"/>
    <w:rsid w:val="005C6C4C"/>
    <w:rsid w:val="005C6F5A"/>
    <w:rsid w:val="005C7130"/>
    <w:rsid w:val="005C7389"/>
    <w:rsid w:val="005D08D9"/>
    <w:rsid w:val="005D0F21"/>
    <w:rsid w:val="005D1965"/>
    <w:rsid w:val="005D322B"/>
    <w:rsid w:val="005D4CD0"/>
    <w:rsid w:val="005D4FFF"/>
    <w:rsid w:val="005D5AC7"/>
    <w:rsid w:val="005D5CF3"/>
    <w:rsid w:val="005D747F"/>
    <w:rsid w:val="005D7ADF"/>
    <w:rsid w:val="005E0C69"/>
    <w:rsid w:val="005E259E"/>
    <w:rsid w:val="005E299C"/>
    <w:rsid w:val="005E37BE"/>
    <w:rsid w:val="005E4597"/>
    <w:rsid w:val="005E4E7F"/>
    <w:rsid w:val="005E4ED0"/>
    <w:rsid w:val="005E4F4D"/>
    <w:rsid w:val="005E5495"/>
    <w:rsid w:val="005E71BA"/>
    <w:rsid w:val="005E71EA"/>
    <w:rsid w:val="005E7294"/>
    <w:rsid w:val="005F01D5"/>
    <w:rsid w:val="005F18F4"/>
    <w:rsid w:val="005F47B5"/>
    <w:rsid w:val="005F4A14"/>
    <w:rsid w:val="005F6447"/>
    <w:rsid w:val="005F790B"/>
    <w:rsid w:val="005F7ABD"/>
    <w:rsid w:val="005F7CE9"/>
    <w:rsid w:val="00600426"/>
    <w:rsid w:val="00600565"/>
    <w:rsid w:val="00600DC2"/>
    <w:rsid w:val="00601C4D"/>
    <w:rsid w:val="00602399"/>
    <w:rsid w:val="006031CA"/>
    <w:rsid w:val="006038B2"/>
    <w:rsid w:val="00603C04"/>
    <w:rsid w:val="00604E05"/>
    <w:rsid w:val="00604EE7"/>
    <w:rsid w:val="00604FE9"/>
    <w:rsid w:val="00605BF6"/>
    <w:rsid w:val="0060608E"/>
    <w:rsid w:val="00606C47"/>
    <w:rsid w:val="006108BA"/>
    <w:rsid w:val="0061235B"/>
    <w:rsid w:val="00612BE3"/>
    <w:rsid w:val="00612CF4"/>
    <w:rsid w:val="00612D09"/>
    <w:rsid w:val="00612DC1"/>
    <w:rsid w:val="006140F8"/>
    <w:rsid w:val="006146B5"/>
    <w:rsid w:val="00615F81"/>
    <w:rsid w:val="006214A8"/>
    <w:rsid w:val="00621854"/>
    <w:rsid w:val="006219EA"/>
    <w:rsid w:val="00623C5B"/>
    <w:rsid w:val="00623E3B"/>
    <w:rsid w:val="00624761"/>
    <w:rsid w:val="006250E2"/>
    <w:rsid w:val="00625C4A"/>
    <w:rsid w:val="00627D30"/>
    <w:rsid w:val="0063022E"/>
    <w:rsid w:val="0063023B"/>
    <w:rsid w:val="0063099B"/>
    <w:rsid w:val="00632626"/>
    <w:rsid w:val="006339C5"/>
    <w:rsid w:val="00633C64"/>
    <w:rsid w:val="00635684"/>
    <w:rsid w:val="00635903"/>
    <w:rsid w:val="00636D47"/>
    <w:rsid w:val="00640142"/>
    <w:rsid w:val="006405F5"/>
    <w:rsid w:val="00640CDC"/>
    <w:rsid w:val="00641997"/>
    <w:rsid w:val="00642B02"/>
    <w:rsid w:val="00645994"/>
    <w:rsid w:val="00646606"/>
    <w:rsid w:val="00646E83"/>
    <w:rsid w:val="0064776B"/>
    <w:rsid w:val="0065039D"/>
    <w:rsid w:val="00651422"/>
    <w:rsid w:val="0065305B"/>
    <w:rsid w:val="00655FD6"/>
    <w:rsid w:val="00656156"/>
    <w:rsid w:val="006578BE"/>
    <w:rsid w:val="006600EF"/>
    <w:rsid w:val="0066098B"/>
    <w:rsid w:val="00660E09"/>
    <w:rsid w:val="00662065"/>
    <w:rsid w:val="00664B24"/>
    <w:rsid w:val="00664DAD"/>
    <w:rsid w:val="0066506F"/>
    <w:rsid w:val="006662D6"/>
    <w:rsid w:val="0066751C"/>
    <w:rsid w:val="00667DBE"/>
    <w:rsid w:val="00670E94"/>
    <w:rsid w:val="00671992"/>
    <w:rsid w:val="006719A3"/>
    <w:rsid w:val="00672850"/>
    <w:rsid w:val="006729FA"/>
    <w:rsid w:val="0067323C"/>
    <w:rsid w:val="00674A2F"/>
    <w:rsid w:val="00677B9E"/>
    <w:rsid w:val="00682C26"/>
    <w:rsid w:val="006831AA"/>
    <w:rsid w:val="00683F3F"/>
    <w:rsid w:val="006846E6"/>
    <w:rsid w:val="006849A2"/>
    <w:rsid w:val="00685330"/>
    <w:rsid w:val="006864B8"/>
    <w:rsid w:val="0068759C"/>
    <w:rsid w:val="006905D0"/>
    <w:rsid w:val="00691558"/>
    <w:rsid w:val="00691BE2"/>
    <w:rsid w:val="006921E9"/>
    <w:rsid w:val="006940FB"/>
    <w:rsid w:val="006950D7"/>
    <w:rsid w:val="0069544C"/>
    <w:rsid w:val="00695ADA"/>
    <w:rsid w:val="006969D3"/>
    <w:rsid w:val="006A0F41"/>
    <w:rsid w:val="006A118B"/>
    <w:rsid w:val="006A2920"/>
    <w:rsid w:val="006A364B"/>
    <w:rsid w:val="006A45F8"/>
    <w:rsid w:val="006A61C0"/>
    <w:rsid w:val="006A6522"/>
    <w:rsid w:val="006B00EA"/>
    <w:rsid w:val="006B01A3"/>
    <w:rsid w:val="006B0A9B"/>
    <w:rsid w:val="006B1198"/>
    <w:rsid w:val="006B11DC"/>
    <w:rsid w:val="006B164D"/>
    <w:rsid w:val="006B4C95"/>
    <w:rsid w:val="006B4E73"/>
    <w:rsid w:val="006B4F60"/>
    <w:rsid w:val="006B53FF"/>
    <w:rsid w:val="006B54B6"/>
    <w:rsid w:val="006B56AE"/>
    <w:rsid w:val="006B5B21"/>
    <w:rsid w:val="006B76D8"/>
    <w:rsid w:val="006C0D80"/>
    <w:rsid w:val="006C1A05"/>
    <w:rsid w:val="006C34B4"/>
    <w:rsid w:val="006C48FD"/>
    <w:rsid w:val="006C5B43"/>
    <w:rsid w:val="006C7DAB"/>
    <w:rsid w:val="006D04CB"/>
    <w:rsid w:val="006D0EBB"/>
    <w:rsid w:val="006D27EC"/>
    <w:rsid w:val="006D2B44"/>
    <w:rsid w:val="006D2F30"/>
    <w:rsid w:val="006D432E"/>
    <w:rsid w:val="006D44EA"/>
    <w:rsid w:val="006D452E"/>
    <w:rsid w:val="006D4787"/>
    <w:rsid w:val="006D4B41"/>
    <w:rsid w:val="006D5359"/>
    <w:rsid w:val="006D65AB"/>
    <w:rsid w:val="006D6862"/>
    <w:rsid w:val="006D6A14"/>
    <w:rsid w:val="006E0D03"/>
    <w:rsid w:val="006E4E87"/>
    <w:rsid w:val="006E76BE"/>
    <w:rsid w:val="006F1AD6"/>
    <w:rsid w:val="006F1DB2"/>
    <w:rsid w:val="006F20A7"/>
    <w:rsid w:val="006F4109"/>
    <w:rsid w:val="006F48F4"/>
    <w:rsid w:val="006F5803"/>
    <w:rsid w:val="006F5ED6"/>
    <w:rsid w:val="006F65EE"/>
    <w:rsid w:val="006F7A59"/>
    <w:rsid w:val="0070103E"/>
    <w:rsid w:val="00703173"/>
    <w:rsid w:val="00705348"/>
    <w:rsid w:val="007075CC"/>
    <w:rsid w:val="0070769A"/>
    <w:rsid w:val="00710150"/>
    <w:rsid w:val="00710980"/>
    <w:rsid w:val="00712100"/>
    <w:rsid w:val="0071281F"/>
    <w:rsid w:val="007142B6"/>
    <w:rsid w:val="00714958"/>
    <w:rsid w:val="00714C3A"/>
    <w:rsid w:val="00714F1D"/>
    <w:rsid w:val="00715460"/>
    <w:rsid w:val="0071795D"/>
    <w:rsid w:val="007206C4"/>
    <w:rsid w:val="0072077A"/>
    <w:rsid w:val="00721900"/>
    <w:rsid w:val="0072198B"/>
    <w:rsid w:val="00723992"/>
    <w:rsid w:val="007244B4"/>
    <w:rsid w:val="0072509E"/>
    <w:rsid w:val="007330FE"/>
    <w:rsid w:val="0073341B"/>
    <w:rsid w:val="0073619E"/>
    <w:rsid w:val="007365E2"/>
    <w:rsid w:val="0073694E"/>
    <w:rsid w:val="00737392"/>
    <w:rsid w:val="00737730"/>
    <w:rsid w:val="00737855"/>
    <w:rsid w:val="00741454"/>
    <w:rsid w:val="00741952"/>
    <w:rsid w:val="007420EE"/>
    <w:rsid w:val="0074235E"/>
    <w:rsid w:val="007430CB"/>
    <w:rsid w:val="00743D47"/>
    <w:rsid w:val="00743EE1"/>
    <w:rsid w:val="007444E6"/>
    <w:rsid w:val="007446DB"/>
    <w:rsid w:val="0074658C"/>
    <w:rsid w:val="007467B2"/>
    <w:rsid w:val="0074745F"/>
    <w:rsid w:val="00747D39"/>
    <w:rsid w:val="00750B24"/>
    <w:rsid w:val="0075119D"/>
    <w:rsid w:val="00752C5C"/>
    <w:rsid w:val="00753A7C"/>
    <w:rsid w:val="00757804"/>
    <w:rsid w:val="007627D4"/>
    <w:rsid w:val="00765483"/>
    <w:rsid w:val="0076666C"/>
    <w:rsid w:val="00766AB0"/>
    <w:rsid w:val="00770C19"/>
    <w:rsid w:val="00774D35"/>
    <w:rsid w:val="007760A3"/>
    <w:rsid w:val="007767BB"/>
    <w:rsid w:val="007776EA"/>
    <w:rsid w:val="00780648"/>
    <w:rsid w:val="00781AD0"/>
    <w:rsid w:val="00781B4E"/>
    <w:rsid w:val="00782C9B"/>
    <w:rsid w:val="00785B89"/>
    <w:rsid w:val="00785BB7"/>
    <w:rsid w:val="007863D5"/>
    <w:rsid w:val="007867F9"/>
    <w:rsid w:val="007868F1"/>
    <w:rsid w:val="00787161"/>
    <w:rsid w:val="00790F4A"/>
    <w:rsid w:val="00791018"/>
    <w:rsid w:val="0079187D"/>
    <w:rsid w:val="00792155"/>
    <w:rsid w:val="00792796"/>
    <w:rsid w:val="00792CD3"/>
    <w:rsid w:val="00792E7E"/>
    <w:rsid w:val="00793915"/>
    <w:rsid w:val="00793C4B"/>
    <w:rsid w:val="00794003"/>
    <w:rsid w:val="00794622"/>
    <w:rsid w:val="00795142"/>
    <w:rsid w:val="0079589A"/>
    <w:rsid w:val="00797644"/>
    <w:rsid w:val="00797843"/>
    <w:rsid w:val="00797A4A"/>
    <w:rsid w:val="007A0026"/>
    <w:rsid w:val="007A07A1"/>
    <w:rsid w:val="007A0BB4"/>
    <w:rsid w:val="007A19DC"/>
    <w:rsid w:val="007A1EEE"/>
    <w:rsid w:val="007A3164"/>
    <w:rsid w:val="007A3665"/>
    <w:rsid w:val="007A420F"/>
    <w:rsid w:val="007A429C"/>
    <w:rsid w:val="007A48DF"/>
    <w:rsid w:val="007A522E"/>
    <w:rsid w:val="007A54E3"/>
    <w:rsid w:val="007A5B19"/>
    <w:rsid w:val="007A67F8"/>
    <w:rsid w:val="007A6998"/>
    <w:rsid w:val="007B0DC3"/>
    <w:rsid w:val="007B1582"/>
    <w:rsid w:val="007B1FEB"/>
    <w:rsid w:val="007B362A"/>
    <w:rsid w:val="007B4A8B"/>
    <w:rsid w:val="007B6674"/>
    <w:rsid w:val="007B68B2"/>
    <w:rsid w:val="007B7222"/>
    <w:rsid w:val="007C048A"/>
    <w:rsid w:val="007C3228"/>
    <w:rsid w:val="007C33C2"/>
    <w:rsid w:val="007C40A1"/>
    <w:rsid w:val="007C536E"/>
    <w:rsid w:val="007C575E"/>
    <w:rsid w:val="007C60DE"/>
    <w:rsid w:val="007C6318"/>
    <w:rsid w:val="007C63F3"/>
    <w:rsid w:val="007C64E6"/>
    <w:rsid w:val="007C7FC4"/>
    <w:rsid w:val="007D06BA"/>
    <w:rsid w:val="007D1607"/>
    <w:rsid w:val="007D2770"/>
    <w:rsid w:val="007D318B"/>
    <w:rsid w:val="007D47F9"/>
    <w:rsid w:val="007D4858"/>
    <w:rsid w:val="007D4896"/>
    <w:rsid w:val="007D5DBE"/>
    <w:rsid w:val="007D692F"/>
    <w:rsid w:val="007D70A9"/>
    <w:rsid w:val="007D7798"/>
    <w:rsid w:val="007D79B1"/>
    <w:rsid w:val="007E2E8E"/>
    <w:rsid w:val="007E3281"/>
    <w:rsid w:val="007E4712"/>
    <w:rsid w:val="007E74B6"/>
    <w:rsid w:val="007E7DD5"/>
    <w:rsid w:val="007F02BE"/>
    <w:rsid w:val="007F0350"/>
    <w:rsid w:val="007F0C21"/>
    <w:rsid w:val="007F1B9A"/>
    <w:rsid w:val="007F259C"/>
    <w:rsid w:val="007F3005"/>
    <w:rsid w:val="007F3F7A"/>
    <w:rsid w:val="007F6276"/>
    <w:rsid w:val="007F6B22"/>
    <w:rsid w:val="00800EE8"/>
    <w:rsid w:val="008017EF"/>
    <w:rsid w:val="00801B69"/>
    <w:rsid w:val="00801F04"/>
    <w:rsid w:val="00802776"/>
    <w:rsid w:val="00802FA1"/>
    <w:rsid w:val="008060C7"/>
    <w:rsid w:val="0080739D"/>
    <w:rsid w:val="0081049F"/>
    <w:rsid w:val="00810953"/>
    <w:rsid w:val="00812192"/>
    <w:rsid w:val="00812810"/>
    <w:rsid w:val="00812C44"/>
    <w:rsid w:val="0081307C"/>
    <w:rsid w:val="00813776"/>
    <w:rsid w:val="00814683"/>
    <w:rsid w:val="00814959"/>
    <w:rsid w:val="00815CAA"/>
    <w:rsid w:val="0081766C"/>
    <w:rsid w:val="00817AA1"/>
    <w:rsid w:val="00817DBA"/>
    <w:rsid w:val="00820678"/>
    <w:rsid w:val="008207C4"/>
    <w:rsid w:val="00820A70"/>
    <w:rsid w:val="008216B0"/>
    <w:rsid w:val="0082259E"/>
    <w:rsid w:val="00822A54"/>
    <w:rsid w:val="00823307"/>
    <w:rsid w:val="00823717"/>
    <w:rsid w:val="00824730"/>
    <w:rsid w:val="00824D10"/>
    <w:rsid w:val="00825136"/>
    <w:rsid w:val="00825AAF"/>
    <w:rsid w:val="00826397"/>
    <w:rsid w:val="00827AD5"/>
    <w:rsid w:val="00830657"/>
    <w:rsid w:val="008308C2"/>
    <w:rsid w:val="0083109B"/>
    <w:rsid w:val="00831BD1"/>
    <w:rsid w:val="0083383C"/>
    <w:rsid w:val="00833FCC"/>
    <w:rsid w:val="00834D21"/>
    <w:rsid w:val="008372BC"/>
    <w:rsid w:val="00837A76"/>
    <w:rsid w:val="00837DC8"/>
    <w:rsid w:val="00837F97"/>
    <w:rsid w:val="008407FF"/>
    <w:rsid w:val="00841AED"/>
    <w:rsid w:val="00842502"/>
    <w:rsid w:val="0084326A"/>
    <w:rsid w:val="00846031"/>
    <w:rsid w:val="0084627C"/>
    <w:rsid w:val="00847D20"/>
    <w:rsid w:val="00850339"/>
    <w:rsid w:val="0085099F"/>
    <w:rsid w:val="00850A1C"/>
    <w:rsid w:val="00851168"/>
    <w:rsid w:val="00851674"/>
    <w:rsid w:val="008528CA"/>
    <w:rsid w:val="00855DAF"/>
    <w:rsid w:val="0085603B"/>
    <w:rsid w:val="008579AC"/>
    <w:rsid w:val="00857C52"/>
    <w:rsid w:val="008604DB"/>
    <w:rsid w:val="00860FED"/>
    <w:rsid w:val="008612D8"/>
    <w:rsid w:val="00861612"/>
    <w:rsid w:val="00861B4B"/>
    <w:rsid w:val="0086276D"/>
    <w:rsid w:val="008639CA"/>
    <w:rsid w:val="00864112"/>
    <w:rsid w:val="008656F0"/>
    <w:rsid w:val="00865D39"/>
    <w:rsid w:val="00866C78"/>
    <w:rsid w:val="00871D18"/>
    <w:rsid w:val="00871FA2"/>
    <w:rsid w:val="008730B7"/>
    <w:rsid w:val="00873253"/>
    <w:rsid w:val="0087403C"/>
    <w:rsid w:val="008754E5"/>
    <w:rsid w:val="00876659"/>
    <w:rsid w:val="00880D89"/>
    <w:rsid w:val="00881908"/>
    <w:rsid w:val="00882C45"/>
    <w:rsid w:val="0088304E"/>
    <w:rsid w:val="008832F5"/>
    <w:rsid w:val="00885861"/>
    <w:rsid w:val="008860AF"/>
    <w:rsid w:val="008875C9"/>
    <w:rsid w:val="00887F8B"/>
    <w:rsid w:val="00890086"/>
    <w:rsid w:val="00891F52"/>
    <w:rsid w:val="0089204A"/>
    <w:rsid w:val="00892095"/>
    <w:rsid w:val="00894B73"/>
    <w:rsid w:val="008973EF"/>
    <w:rsid w:val="00897A10"/>
    <w:rsid w:val="008A0F7A"/>
    <w:rsid w:val="008A1824"/>
    <w:rsid w:val="008A5309"/>
    <w:rsid w:val="008A56C7"/>
    <w:rsid w:val="008A5C1D"/>
    <w:rsid w:val="008A71C9"/>
    <w:rsid w:val="008A7636"/>
    <w:rsid w:val="008B0612"/>
    <w:rsid w:val="008B0850"/>
    <w:rsid w:val="008B106C"/>
    <w:rsid w:val="008B3313"/>
    <w:rsid w:val="008B3445"/>
    <w:rsid w:val="008B5AF2"/>
    <w:rsid w:val="008B66EF"/>
    <w:rsid w:val="008B7A7C"/>
    <w:rsid w:val="008C0895"/>
    <w:rsid w:val="008C18C0"/>
    <w:rsid w:val="008C38FD"/>
    <w:rsid w:val="008C3936"/>
    <w:rsid w:val="008C3E6D"/>
    <w:rsid w:val="008C4116"/>
    <w:rsid w:val="008C6667"/>
    <w:rsid w:val="008C6E28"/>
    <w:rsid w:val="008D1330"/>
    <w:rsid w:val="008D23A4"/>
    <w:rsid w:val="008D25FA"/>
    <w:rsid w:val="008D2710"/>
    <w:rsid w:val="008D2888"/>
    <w:rsid w:val="008D5669"/>
    <w:rsid w:val="008D5D55"/>
    <w:rsid w:val="008D5E60"/>
    <w:rsid w:val="008D6BEE"/>
    <w:rsid w:val="008D6E05"/>
    <w:rsid w:val="008D70A1"/>
    <w:rsid w:val="008D7D2A"/>
    <w:rsid w:val="008D7DBF"/>
    <w:rsid w:val="008E0B2D"/>
    <w:rsid w:val="008E25C2"/>
    <w:rsid w:val="008E2EEA"/>
    <w:rsid w:val="008E65B3"/>
    <w:rsid w:val="008E66F5"/>
    <w:rsid w:val="008E6B8B"/>
    <w:rsid w:val="008E72FF"/>
    <w:rsid w:val="008E786F"/>
    <w:rsid w:val="008E7AF7"/>
    <w:rsid w:val="008F1367"/>
    <w:rsid w:val="008F16C6"/>
    <w:rsid w:val="008F296A"/>
    <w:rsid w:val="008F3EC2"/>
    <w:rsid w:val="008F5726"/>
    <w:rsid w:val="008F6B33"/>
    <w:rsid w:val="008F78F5"/>
    <w:rsid w:val="00900300"/>
    <w:rsid w:val="00902836"/>
    <w:rsid w:val="00904873"/>
    <w:rsid w:val="00905DBA"/>
    <w:rsid w:val="00906216"/>
    <w:rsid w:val="00910901"/>
    <w:rsid w:val="00910A0A"/>
    <w:rsid w:val="00910B0E"/>
    <w:rsid w:val="00910C5B"/>
    <w:rsid w:val="00911A35"/>
    <w:rsid w:val="00911E47"/>
    <w:rsid w:val="00913DFF"/>
    <w:rsid w:val="00913E74"/>
    <w:rsid w:val="00914AEA"/>
    <w:rsid w:val="00916242"/>
    <w:rsid w:val="0091643F"/>
    <w:rsid w:val="00916A38"/>
    <w:rsid w:val="00916D1D"/>
    <w:rsid w:val="009178B2"/>
    <w:rsid w:val="009200E5"/>
    <w:rsid w:val="00920AE0"/>
    <w:rsid w:val="00921BEB"/>
    <w:rsid w:val="00921D15"/>
    <w:rsid w:val="00922235"/>
    <w:rsid w:val="009222E6"/>
    <w:rsid w:val="00922D63"/>
    <w:rsid w:val="00923B73"/>
    <w:rsid w:val="00924622"/>
    <w:rsid w:val="009257C7"/>
    <w:rsid w:val="009344C8"/>
    <w:rsid w:val="0093461C"/>
    <w:rsid w:val="00934895"/>
    <w:rsid w:val="00934D9A"/>
    <w:rsid w:val="0093535E"/>
    <w:rsid w:val="00935644"/>
    <w:rsid w:val="00935C71"/>
    <w:rsid w:val="009379AA"/>
    <w:rsid w:val="00937AC6"/>
    <w:rsid w:val="00941A7B"/>
    <w:rsid w:val="009430E6"/>
    <w:rsid w:val="009433D7"/>
    <w:rsid w:val="0094385A"/>
    <w:rsid w:val="00943BDA"/>
    <w:rsid w:val="009451D6"/>
    <w:rsid w:val="00945773"/>
    <w:rsid w:val="00945EE4"/>
    <w:rsid w:val="00947180"/>
    <w:rsid w:val="00950294"/>
    <w:rsid w:val="00950469"/>
    <w:rsid w:val="00950D29"/>
    <w:rsid w:val="00950F30"/>
    <w:rsid w:val="0095230F"/>
    <w:rsid w:val="00953863"/>
    <w:rsid w:val="00953E84"/>
    <w:rsid w:val="009544F7"/>
    <w:rsid w:val="00954AAF"/>
    <w:rsid w:val="00955E42"/>
    <w:rsid w:val="00956970"/>
    <w:rsid w:val="00957BF2"/>
    <w:rsid w:val="00960DC0"/>
    <w:rsid w:val="00960E34"/>
    <w:rsid w:val="009623BD"/>
    <w:rsid w:val="00962737"/>
    <w:rsid w:val="00963971"/>
    <w:rsid w:val="009639FC"/>
    <w:rsid w:val="00964113"/>
    <w:rsid w:val="00964CEE"/>
    <w:rsid w:val="009664E0"/>
    <w:rsid w:val="009666C2"/>
    <w:rsid w:val="0096797E"/>
    <w:rsid w:val="00970A3A"/>
    <w:rsid w:val="00971C68"/>
    <w:rsid w:val="009720A4"/>
    <w:rsid w:val="00972DEA"/>
    <w:rsid w:val="0097424C"/>
    <w:rsid w:val="00976040"/>
    <w:rsid w:val="009765EB"/>
    <w:rsid w:val="009769B4"/>
    <w:rsid w:val="00977469"/>
    <w:rsid w:val="00977E6C"/>
    <w:rsid w:val="00980414"/>
    <w:rsid w:val="00981FB6"/>
    <w:rsid w:val="00982889"/>
    <w:rsid w:val="00982959"/>
    <w:rsid w:val="00983057"/>
    <w:rsid w:val="009850CD"/>
    <w:rsid w:val="0098523C"/>
    <w:rsid w:val="00986D25"/>
    <w:rsid w:val="00990740"/>
    <w:rsid w:val="009908FB"/>
    <w:rsid w:val="00990C51"/>
    <w:rsid w:val="00990C9B"/>
    <w:rsid w:val="009910C6"/>
    <w:rsid w:val="00991517"/>
    <w:rsid w:val="00991B21"/>
    <w:rsid w:val="00991F05"/>
    <w:rsid w:val="00992B01"/>
    <w:rsid w:val="00994749"/>
    <w:rsid w:val="00995249"/>
    <w:rsid w:val="009955FE"/>
    <w:rsid w:val="00995EE1"/>
    <w:rsid w:val="0099622F"/>
    <w:rsid w:val="009965EA"/>
    <w:rsid w:val="00997364"/>
    <w:rsid w:val="00997566"/>
    <w:rsid w:val="009A0332"/>
    <w:rsid w:val="009A1368"/>
    <w:rsid w:val="009A35AB"/>
    <w:rsid w:val="009A3775"/>
    <w:rsid w:val="009A4BAF"/>
    <w:rsid w:val="009A53A6"/>
    <w:rsid w:val="009A5809"/>
    <w:rsid w:val="009A5ED5"/>
    <w:rsid w:val="009A67CD"/>
    <w:rsid w:val="009A761F"/>
    <w:rsid w:val="009B0D7A"/>
    <w:rsid w:val="009B1E1A"/>
    <w:rsid w:val="009B2EF0"/>
    <w:rsid w:val="009B3345"/>
    <w:rsid w:val="009B55D5"/>
    <w:rsid w:val="009B5CB9"/>
    <w:rsid w:val="009B7C97"/>
    <w:rsid w:val="009C0F4C"/>
    <w:rsid w:val="009C136C"/>
    <w:rsid w:val="009C17DD"/>
    <w:rsid w:val="009C46CF"/>
    <w:rsid w:val="009C56F0"/>
    <w:rsid w:val="009C57CD"/>
    <w:rsid w:val="009C58B2"/>
    <w:rsid w:val="009C631C"/>
    <w:rsid w:val="009C6AF8"/>
    <w:rsid w:val="009C739B"/>
    <w:rsid w:val="009C785E"/>
    <w:rsid w:val="009D1004"/>
    <w:rsid w:val="009D2D4D"/>
    <w:rsid w:val="009D3129"/>
    <w:rsid w:val="009D34AB"/>
    <w:rsid w:val="009D48C9"/>
    <w:rsid w:val="009D5CA0"/>
    <w:rsid w:val="009D5EEE"/>
    <w:rsid w:val="009E0746"/>
    <w:rsid w:val="009E1DBE"/>
    <w:rsid w:val="009E31E2"/>
    <w:rsid w:val="009E345A"/>
    <w:rsid w:val="009E39FB"/>
    <w:rsid w:val="009E4295"/>
    <w:rsid w:val="009E4625"/>
    <w:rsid w:val="009E4D6A"/>
    <w:rsid w:val="009E533B"/>
    <w:rsid w:val="009E607D"/>
    <w:rsid w:val="009E60A6"/>
    <w:rsid w:val="009E6388"/>
    <w:rsid w:val="009E784B"/>
    <w:rsid w:val="009F0023"/>
    <w:rsid w:val="009F023B"/>
    <w:rsid w:val="009F1097"/>
    <w:rsid w:val="009F1C6B"/>
    <w:rsid w:val="009F25BE"/>
    <w:rsid w:val="009F29E9"/>
    <w:rsid w:val="009F2AA3"/>
    <w:rsid w:val="00A01FB2"/>
    <w:rsid w:val="00A03483"/>
    <w:rsid w:val="00A036F4"/>
    <w:rsid w:val="00A03DA8"/>
    <w:rsid w:val="00A042D0"/>
    <w:rsid w:val="00A045D4"/>
    <w:rsid w:val="00A059EB"/>
    <w:rsid w:val="00A067D8"/>
    <w:rsid w:val="00A068D9"/>
    <w:rsid w:val="00A071BF"/>
    <w:rsid w:val="00A107A9"/>
    <w:rsid w:val="00A11683"/>
    <w:rsid w:val="00A124CE"/>
    <w:rsid w:val="00A12A56"/>
    <w:rsid w:val="00A1367A"/>
    <w:rsid w:val="00A13BBA"/>
    <w:rsid w:val="00A144F6"/>
    <w:rsid w:val="00A145C2"/>
    <w:rsid w:val="00A14BDE"/>
    <w:rsid w:val="00A14DDA"/>
    <w:rsid w:val="00A15C6D"/>
    <w:rsid w:val="00A208E2"/>
    <w:rsid w:val="00A20FE7"/>
    <w:rsid w:val="00A21E27"/>
    <w:rsid w:val="00A22BB8"/>
    <w:rsid w:val="00A22D18"/>
    <w:rsid w:val="00A23E43"/>
    <w:rsid w:val="00A24B63"/>
    <w:rsid w:val="00A25A69"/>
    <w:rsid w:val="00A26AE7"/>
    <w:rsid w:val="00A26FD7"/>
    <w:rsid w:val="00A26FF2"/>
    <w:rsid w:val="00A30CAF"/>
    <w:rsid w:val="00A315A4"/>
    <w:rsid w:val="00A32DC3"/>
    <w:rsid w:val="00A34AE2"/>
    <w:rsid w:val="00A34F50"/>
    <w:rsid w:val="00A365D6"/>
    <w:rsid w:val="00A36E3B"/>
    <w:rsid w:val="00A401EA"/>
    <w:rsid w:val="00A40CF5"/>
    <w:rsid w:val="00A40F08"/>
    <w:rsid w:val="00A41889"/>
    <w:rsid w:val="00A43BBD"/>
    <w:rsid w:val="00A446A4"/>
    <w:rsid w:val="00A44867"/>
    <w:rsid w:val="00A44F81"/>
    <w:rsid w:val="00A454A5"/>
    <w:rsid w:val="00A46042"/>
    <w:rsid w:val="00A463B9"/>
    <w:rsid w:val="00A46C1B"/>
    <w:rsid w:val="00A47F8D"/>
    <w:rsid w:val="00A5075F"/>
    <w:rsid w:val="00A51528"/>
    <w:rsid w:val="00A53C08"/>
    <w:rsid w:val="00A55433"/>
    <w:rsid w:val="00A55BE6"/>
    <w:rsid w:val="00A576B2"/>
    <w:rsid w:val="00A57C04"/>
    <w:rsid w:val="00A57DAC"/>
    <w:rsid w:val="00A60E54"/>
    <w:rsid w:val="00A60FB8"/>
    <w:rsid w:val="00A6236A"/>
    <w:rsid w:val="00A6301E"/>
    <w:rsid w:val="00A636A7"/>
    <w:rsid w:val="00A63918"/>
    <w:rsid w:val="00A641B4"/>
    <w:rsid w:val="00A654FF"/>
    <w:rsid w:val="00A65DA1"/>
    <w:rsid w:val="00A6711A"/>
    <w:rsid w:val="00A67857"/>
    <w:rsid w:val="00A678E0"/>
    <w:rsid w:val="00A67F0F"/>
    <w:rsid w:val="00A7007E"/>
    <w:rsid w:val="00A71487"/>
    <w:rsid w:val="00A723EC"/>
    <w:rsid w:val="00A72A52"/>
    <w:rsid w:val="00A739D0"/>
    <w:rsid w:val="00A74335"/>
    <w:rsid w:val="00A74450"/>
    <w:rsid w:val="00A750F4"/>
    <w:rsid w:val="00A75BD6"/>
    <w:rsid w:val="00A765A8"/>
    <w:rsid w:val="00A77B23"/>
    <w:rsid w:val="00A81D2A"/>
    <w:rsid w:val="00A829EB"/>
    <w:rsid w:val="00A82A6D"/>
    <w:rsid w:val="00A83BCD"/>
    <w:rsid w:val="00A84763"/>
    <w:rsid w:val="00A84891"/>
    <w:rsid w:val="00A84E69"/>
    <w:rsid w:val="00A84F9C"/>
    <w:rsid w:val="00A86ECB"/>
    <w:rsid w:val="00A871DE"/>
    <w:rsid w:val="00A90D40"/>
    <w:rsid w:val="00AA073A"/>
    <w:rsid w:val="00AA0861"/>
    <w:rsid w:val="00AA1254"/>
    <w:rsid w:val="00AA1765"/>
    <w:rsid w:val="00AA24EB"/>
    <w:rsid w:val="00AA2597"/>
    <w:rsid w:val="00AA3378"/>
    <w:rsid w:val="00AA38BF"/>
    <w:rsid w:val="00AA5910"/>
    <w:rsid w:val="00AA711F"/>
    <w:rsid w:val="00AA724E"/>
    <w:rsid w:val="00AB04C7"/>
    <w:rsid w:val="00AB0ACC"/>
    <w:rsid w:val="00AB2ED7"/>
    <w:rsid w:val="00AB36AA"/>
    <w:rsid w:val="00AB5350"/>
    <w:rsid w:val="00AB6193"/>
    <w:rsid w:val="00AB7932"/>
    <w:rsid w:val="00AB7AFF"/>
    <w:rsid w:val="00AC102F"/>
    <w:rsid w:val="00AC19E3"/>
    <w:rsid w:val="00AC23C3"/>
    <w:rsid w:val="00AC3693"/>
    <w:rsid w:val="00AC4E26"/>
    <w:rsid w:val="00AC61DF"/>
    <w:rsid w:val="00AC6228"/>
    <w:rsid w:val="00AC6B97"/>
    <w:rsid w:val="00AD0EC3"/>
    <w:rsid w:val="00AD0FE8"/>
    <w:rsid w:val="00AD19AB"/>
    <w:rsid w:val="00AD19E7"/>
    <w:rsid w:val="00AD2A9D"/>
    <w:rsid w:val="00AD31B7"/>
    <w:rsid w:val="00AD3230"/>
    <w:rsid w:val="00AD38A1"/>
    <w:rsid w:val="00AD38E2"/>
    <w:rsid w:val="00AD4C6E"/>
    <w:rsid w:val="00AD4DCF"/>
    <w:rsid w:val="00AD5265"/>
    <w:rsid w:val="00AD6710"/>
    <w:rsid w:val="00AE00EC"/>
    <w:rsid w:val="00AE0DC1"/>
    <w:rsid w:val="00AE0EEB"/>
    <w:rsid w:val="00AE2CE0"/>
    <w:rsid w:val="00AE4EE9"/>
    <w:rsid w:val="00AE5630"/>
    <w:rsid w:val="00AE6550"/>
    <w:rsid w:val="00AE7FD5"/>
    <w:rsid w:val="00AF02EE"/>
    <w:rsid w:val="00AF43B8"/>
    <w:rsid w:val="00AF4844"/>
    <w:rsid w:val="00AF6FD4"/>
    <w:rsid w:val="00B00036"/>
    <w:rsid w:val="00B00491"/>
    <w:rsid w:val="00B01957"/>
    <w:rsid w:val="00B01FF2"/>
    <w:rsid w:val="00B02213"/>
    <w:rsid w:val="00B02D77"/>
    <w:rsid w:val="00B059FC"/>
    <w:rsid w:val="00B05C60"/>
    <w:rsid w:val="00B0662C"/>
    <w:rsid w:val="00B0670C"/>
    <w:rsid w:val="00B07412"/>
    <w:rsid w:val="00B10C33"/>
    <w:rsid w:val="00B11A51"/>
    <w:rsid w:val="00B14E91"/>
    <w:rsid w:val="00B1559C"/>
    <w:rsid w:val="00B160DB"/>
    <w:rsid w:val="00B16F46"/>
    <w:rsid w:val="00B171E0"/>
    <w:rsid w:val="00B1724D"/>
    <w:rsid w:val="00B17F6E"/>
    <w:rsid w:val="00B20535"/>
    <w:rsid w:val="00B207F6"/>
    <w:rsid w:val="00B211E0"/>
    <w:rsid w:val="00B22A3F"/>
    <w:rsid w:val="00B23F08"/>
    <w:rsid w:val="00B23FED"/>
    <w:rsid w:val="00B242B5"/>
    <w:rsid w:val="00B24954"/>
    <w:rsid w:val="00B2514F"/>
    <w:rsid w:val="00B2562A"/>
    <w:rsid w:val="00B2668D"/>
    <w:rsid w:val="00B31C55"/>
    <w:rsid w:val="00B32202"/>
    <w:rsid w:val="00B32AC5"/>
    <w:rsid w:val="00B32D65"/>
    <w:rsid w:val="00B349FE"/>
    <w:rsid w:val="00B357FA"/>
    <w:rsid w:val="00B36C6B"/>
    <w:rsid w:val="00B403B2"/>
    <w:rsid w:val="00B40480"/>
    <w:rsid w:val="00B40996"/>
    <w:rsid w:val="00B432B9"/>
    <w:rsid w:val="00B44DEB"/>
    <w:rsid w:val="00B4611A"/>
    <w:rsid w:val="00B468BB"/>
    <w:rsid w:val="00B46B02"/>
    <w:rsid w:val="00B46D9A"/>
    <w:rsid w:val="00B50DD4"/>
    <w:rsid w:val="00B54100"/>
    <w:rsid w:val="00B54DAF"/>
    <w:rsid w:val="00B558D5"/>
    <w:rsid w:val="00B56394"/>
    <w:rsid w:val="00B5742B"/>
    <w:rsid w:val="00B60EC9"/>
    <w:rsid w:val="00B636D9"/>
    <w:rsid w:val="00B637AE"/>
    <w:rsid w:val="00B63987"/>
    <w:rsid w:val="00B63E74"/>
    <w:rsid w:val="00B7044A"/>
    <w:rsid w:val="00B7099C"/>
    <w:rsid w:val="00B71049"/>
    <w:rsid w:val="00B71419"/>
    <w:rsid w:val="00B715D9"/>
    <w:rsid w:val="00B72BC1"/>
    <w:rsid w:val="00B73286"/>
    <w:rsid w:val="00B73299"/>
    <w:rsid w:val="00B74A09"/>
    <w:rsid w:val="00B74B11"/>
    <w:rsid w:val="00B74B4A"/>
    <w:rsid w:val="00B76115"/>
    <w:rsid w:val="00B76701"/>
    <w:rsid w:val="00B76775"/>
    <w:rsid w:val="00B76E93"/>
    <w:rsid w:val="00B7731F"/>
    <w:rsid w:val="00B77A2A"/>
    <w:rsid w:val="00B77E34"/>
    <w:rsid w:val="00B81B86"/>
    <w:rsid w:val="00B81D5D"/>
    <w:rsid w:val="00B82599"/>
    <w:rsid w:val="00B82E55"/>
    <w:rsid w:val="00B831BE"/>
    <w:rsid w:val="00B84C22"/>
    <w:rsid w:val="00B84CC9"/>
    <w:rsid w:val="00B863CE"/>
    <w:rsid w:val="00B864CF"/>
    <w:rsid w:val="00B866C3"/>
    <w:rsid w:val="00B8757B"/>
    <w:rsid w:val="00B875EA"/>
    <w:rsid w:val="00B91570"/>
    <w:rsid w:val="00B91C7A"/>
    <w:rsid w:val="00B92239"/>
    <w:rsid w:val="00B9231B"/>
    <w:rsid w:val="00B95776"/>
    <w:rsid w:val="00B97A3F"/>
    <w:rsid w:val="00BA06ED"/>
    <w:rsid w:val="00BA1D5B"/>
    <w:rsid w:val="00BA38DE"/>
    <w:rsid w:val="00BA496D"/>
    <w:rsid w:val="00BA6B57"/>
    <w:rsid w:val="00BA73A4"/>
    <w:rsid w:val="00BA76CE"/>
    <w:rsid w:val="00BB0269"/>
    <w:rsid w:val="00BB0710"/>
    <w:rsid w:val="00BB09EF"/>
    <w:rsid w:val="00BB0CB5"/>
    <w:rsid w:val="00BB0E13"/>
    <w:rsid w:val="00BB13E6"/>
    <w:rsid w:val="00BB1CB0"/>
    <w:rsid w:val="00BB3CDD"/>
    <w:rsid w:val="00BB4316"/>
    <w:rsid w:val="00BB6239"/>
    <w:rsid w:val="00BB6A98"/>
    <w:rsid w:val="00BB7B04"/>
    <w:rsid w:val="00BC1849"/>
    <w:rsid w:val="00BC21AF"/>
    <w:rsid w:val="00BC32A2"/>
    <w:rsid w:val="00BC3FF4"/>
    <w:rsid w:val="00BC4A0D"/>
    <w:rsid w:val="00BC5E20"/>
    <w:rsid w:val="00BC5F1E"/>
    <w:rsid w:val="00BC6B98"/>
    <w:rsid w:val="00BC7383"/>
    <w:rsid w:val="00BC79B9"/>
    <w:rsid w:val="00BD0556"/>
    <w:rsid w:val="00BD1FDE"/>
    <w:rsid w:val="00BD2880"/>
    <w:rsid w:val="00BD30D0"/>
    <w:rsid w:val="00BD341D"/>
    <w:rsid w:val="00BD454A"/>
    <w:rsid w:val="00BD4A82"/>
    <w:rsid w:val="00BD6A4A"/>
    <w:rsid w:val="00BD78A2"/>
    <w:rsid w:val="00BD7B20"/>
    <w:rsid w:val="00BE01AD"/>
    <w:rsid w:val="00BE1CA8"/>
    <w:rsid w:val="00BE1EA4"/>
    <w:rsid w:val="00BE6487"/>
    <w:rsid w:val="00BE695D"/>
    <w:rsid w:val="00BE6B6A"/>
    <w:rsid w:val="00BE7D99"/>
    <w:rsid w:val="00BF4099"/>
    <w:rsid w:val="00BF4DF7"/>
    <w:rsid w:val="00BF64EF"/>
    <w:rsid w:val="00BF698D"/>
    <w:rsid w:val="00BF7C6E"/>
    <w:rsid w:val="00BF7DF4"/>
    <w:rsid w:val="00C004DD"/>
    <w:rsid w:val="00C015BB"/>
    <w:rsid w:val="00C02144"/>
    <w:rsid w:val="00C04111"/>
    <w:rsid w:val="00C04858"/>
    <w:rsid w:val="00C04E65"/>
    <w:rsid w:val="00C05281"/>
    <w:rsid w:val="00C0714F"/>
    <w:rsid w:val="00C07304"/>
    <w:rsid w:val="00C07541"/>
    <w:rsid w:val="00C07F23"/>
    <w:rsid w:val="00C11A99"/>
    <w:rsid w:val="00C13C30"/>
    <w:rsid w:val="00C13FE6"/>
    <w:rsid w:val="00C1409E"/>
    <w:rsid w:val="00C1546E"/>
    <w:rsid w:val="00C15612"/>
    <w:rsid w:val="00C1573D"/>
    <w:rsid w:val="00C1592C"/>
    <w:rsid w:val="00C168C2"/>
    <w:rsid w:val="00C16CB9"/>
    <w:rsid w:val="00C21907"/>
    <w:rsid w:val="00C21C8D"/>
    <w:rsid w:val="00C22A22"/>
    <w:rsid w:val="00C22FE2"/>
    <w:rsid w:val="00C23798"/>
    <w:rsid w:val="00C23BA1"/>
    <w:rsid w:val="00C23E39"/>
    <w:rsid w:val="00C25079"/>
    <w:rsid w:val="00C26CB1"/>
    <w:rsid w:val="00C277C6"/>
    <w:rsid w:val="00C27C85"/>
    <w:rsid w:val="00C301D6"/>
    <w:rsid w:val="00C304AA"/>
    <w:rsid w:val="00C30FCF"/>
    <w:rsid w:val="00C31624"/>
    <w:rsid w:val="00C33F05"/>
    <w:rsid w:val="00C34267"/>
    <w:rsid w:val="00C342D5"/>
    <w:rsid w:val="00C35518"/>
    <w:rsid w:val="00C3630A"/>
    <w:rsid w:val="00C364C5"/>
    <w:rsid w:val="00C36703"/>
    <w:rsid w:val="00C416B1"/>
    <w:rsid w:val="00C41859"/>
    <w:rsid w:val="00C41C37"/>
    <w:rsid w:val="00C41E0E"/>
    <w:rsid w:val="00C42A5D"/>
    <w:rsid w:val="00C430F0"/>
    <w:rsid w:val="00C43EAA"/>
    <w:rsid w:val="00C44A7A"/>
    <w:rsid w:val="00C458DE"/>
    <w:rsid w:val="00C45AF3"/>
    <w:rsid w:val="00C45F0E"/>
    <w:rsid w:val="00C46A75"/>
    <w:rsid w:val="00C46B5A"/>
    <w:rsid w:val="00C47062"/>
    <w:rsid w:val="00C50282"/>
    <w:rsid w:val="00C5090B"/>
    <w:rsid w:val="00C5095B"/>
    <w:rsid w:val="00C51641"/>
    <w:rsid w:val="00C52133"/>
    <w:rsid w:val="00C52FAA"/>
    <w:rsid w:val="00C534F1"/>
    <w:rsid w:val="00C5356F"/>
    <w:rsid w:val="00C543CF"/>
    <w:rsid w:val="00C5493A"/>
    <w:rsid w:val="00C54A77"/>
    <w:rsid w:val="00C55865"/>
    <w:rsid w:val="00C5606A"/>
    <w:rsid w:val="00C56258"/>
    <w:rsid w:val="00C56FD6"/>
    <w:rsid w:val="00C57B73"/>
    <w:rsid w:val="00C60481"/>
    <w:rsid w:val="00C61AC5"/>
    <w:rsid w:val="00C62E2B"/>
    <w:rsid w:val="00C6345F"/>
    <w:rsid w:val="00C63737"/>
    <w:rsid w:val="00C64170"/>
    <w:rsid w:val="00C64193"/>
    <w:rsid w:val="00C641E9"/>
    <w:rsid w:val="00C642FF"/>
    <w:rsid w:val="00C65AE3"/>
    <w:rsid w:val="00C66548"/>
    <w:rsid w:val="00C67453"/>
    <w:rsid w:val="00C67B7C"/>
    <w:rsid w:val="00C70144"/>
    <w:rsid w:val="00C70899"/>
    <w:rsid w:val="00C71D38"/>
    <w:rsid w:val="00C736B1"/>
    <w:rsid w:val="00C73A64"/>
    <w:rsid w:val="00C757CB"/>
    <w:rsid w:val="00C7582F"/>
    <w:rsid w:val="00C758BA"/>
    <w:rsid w:val="00C76E48"/>
    <w:rsid w:val="00C7731C"/>
    <w:rsid w:val="00C77D38"/>
    <w:rsid w:val="00C8057A"/>
    <w:rsid w:val="00C82B14"/>
    <w:rsid w:val="00C83A58"/>
    <w:rsid w:val="00C85937"/>
    <w:rsid w:val="00C86264"/>
    <w:rsid w:val="00C86812"/>
    <w:rsid w:val="00C86980"/>
    <w:rsid w:val="00C86AFD"/>
    <w:rsid w:val="00C86FFB"/>
    <w:rsid w:val="00C87177"/>
    <w:rsid w:val="00C915BC"/>
    <w:rsid w:val="00C919B3"/>
    <w:rsid w:val="00C93BB4"/>
    <w:rsid w:val="00C93DBB"/>
    <w:rsid w:val="00C93E55"/>
    <w:rsid w:val="00C94130"/>
    <w:rsid w:val="00C94B40"/>
    <w:rsid w:val="00C94C1A"/>
    <w:rsid w:val="00C953BE"/>
    <w:rsid w:val="00C95988"/>
    <w:rsid w:val="00C9662D"/>
    <w:rsid w:val="00C975CE"/>
    <w:rsid w:val="00CA01A7"/>
    <w:rsid w:val="00CA05BD"/>
    <w:rsid w:val="00CA26F6"/>
    <w:rsid w:val="00CA3F71"/>
    <w:rsid w:val="00CA46EB"/>
    <w:rsid w:val="00CA4A09"/>
    <w:rsid w:val="00CA4EF7"/>
    <w:rsid w:val="00CA69D0"/>
    <w:rsid w:val="00CB0140"/>
    <w:rsid w:val="00CB0809"/>
    <w:rsid w:val="00CB1378"/>
    <w:rsid w:val="00CB16DA"/>
    <w:rsid w:val="00CB1B87"/>
    <w:rsid w:val="00CB2971"/>
    <w:rsid w:val="00CB2CDC"/>
    <w:rsid w:val="00CB2F8B"/>
    <w:rsid w:val="00CB4C7C"/>
    <w:rsid w:val="00CB4D9C"/>
    <w:rsid w:val="00CB6548"/>
    <w:rsid w:val="00CB744F"/>
    <w:rsid w:val="00CC02F3"/>
    <w:rsid w:val="00CC0A30"/>
    <w:rsid w:val="00CC0E10"/>
    <w:rsid w:val="00CC10DC"/>
    <w:rsid w:val="00CC1747"/>
    <w:rsid w:val="00CC17B5"/>
    <w:rsid w:val="00CC1D78"/>
    <w:rsid w:val="00CC1DE6"/>
    <w:rsid w:val="00CC3394"/>
    <w:rsid w:val="00CC3A23"/>
    <w:rsid w:val="00CC3BEB"/>
    <w:rsid w:val="00CC4847"/>
    <w:rsid w:val="00CC4C34"/>
    <w:rsid w:val="00CC57AD"/>
    <w:rsid w:val="00CC5B05"/>
    <w:rsid w:val="00CC6ACF"/>
    <w:rsid w:val="00CC6D0A"/>
    <w:rsid w:val="00CD026C"/>
    <w:rsid w:val="00CD31A2"/>
    <w:rsid w:val="00CD35EA"/>
    <w:rsid w:val="00CD4227"/>
    <w:rsid w:val="00CD48FC"/>
    <w:rsid w:val="00CD4DE7"/>
    <w:rsid w:val="00CD60D3"/>
    <w:rsid w:val="00CD6438"/>
    <w:rsid w:val="00CD6BCD"/>
    <w:rsid w:val="00CD6E0A"/>
    <w:rsid w:val="00CD7CED"/>
    <w:rsid w:val="00CE0C85"/>
    <w:rsid w:val="00CE214F"/>
    <w:rsid w:val="00CE2374"/>
    <w:rsid w:val="00CE2DAB"/>
    <w:rsid w:val="00CE3419"/>
    <w:rsid w:val="00CE4A91"/>
    <w:rsid w:val="00CF06B8"/>
    <w:rsid w:val="00CF0ED4"/>
    <w:rsid w:val="00CF2020"/>
    <w:rsid w:val="00CF33CC"/>
    <w:rsid w:val="00CF3AE9"/>
    <w:rsid w:val="00D000AA"/>
    <w:rsid w:val="00D00B2A"/>
    <w:rsid w:val="00D01382"/>
    <w:rsid w:val="00D0177E"/>
    <w:rsid w:val="00D01A13"/>
    <w:rsid w:val="00D01F11"/>
    <w:rsid w:val="00D02668"/>
    <w:rsid w:val="00D02BD1"/>
    <w:rsid w:val="00D02DE6"/>
    <w:rsid w:val="00D045D5"/>
    <w:rsid w:val="00D048B1"/>
    <w:rsid w:val="00D060E6"/>
    <w:rsid w:val="00D066C3"/>
    <w:rsid w:val="00D07030"/>
    <w:rsid w:val="00D07177"/>
    <w:rsid w:val="00D1025D"/>
    <w:rsid w:val="00D10B2A"/>
    <w:rsid w:val="00D12A58"/>
    <w:rsid w:val="00D139C7"/>
    <w:rsid w:val="00D14580"/>
    <w:rsid w:val="00D147AD"/>
    <w:rsid w:val="00D1528D"/>
    <w:rsid w:val="00D1572B"/>
    <w:rsid w:val="00D17129"/>
    <w:rsid w:val="00D2035B"/>
    <w:rsid w:val="00D20775"/>
    <w:rsid w:val="00D22231"/>
    <w:rsid w:val="00D2362A"/>
    <w:rsid w:val="00D258B5"/>
    <w:rsid w:val="00D258D4"/>
    <w:rsid w:val="00D268AE"/>
    <w:rsid w:val="00D278E9"/>
    <w:rsid w:val="00D327CF"/>
    <w:rsid w:val="00D32871"/>
    <w:rsid w:val="00D32A78"/>
    <w:rsid w:val="00D34DB0"/>
    <w:rsid w:val="00D357F5"/>
    <w:rsid w:val="00D378DC"/>
    <w:rsid w:val="00D40564"/>
    <w:rsid w:val="00D40BFF"/>
    <w:rsid w:val="00D442B5"/>
    <w:rsid w:val="00D453C8"/>
    <w:rsid w:val="00D45D13"/>
    <w:rsid w:val="00D460C5"/>
    <w:rsid w:val="00D46470"/>
    <w:rsid w:val="00D46B9A"/>
    <w:rsid w:val="00D47CF9"/>
    <w:rsid w:val="00D507AE"/>
    <w:rsid w:val="00D50D3B"/>
    <w:rsid w:val="00D53518"/>
    <w:rsid w:val="00D54786"/>
    <w:rsid w:val="00D54868"/>
    <w:rsid w:val="00D556F3"/>
    <w:rsid w:val="00D55C8F"/>
    <w:rsid w:val="00D572F3"/>
    <w:rsid w:val="00D576EB"/>
    <w:rsid w:val="00D57922"/>
    <w:rsid w:val="00D6315E"/>
    <w:rsid w:val="00D6354F"/>
    <w:rsid w:val="00D63DA4"/>
    <w:rsid w:val="00D6401F"/>
    <w:rsid w:val="00D656F7"/>
    <w:rsid w:val="00D65EB6"/>
    <w:rsid w:val="00D67463"/>
    <w:rsid w:val="00D71FD0"/>
    <w:rsid w:val="00D72701"/>
    <w:rsid w:val="00D74C42"/>
    <w:rsid w:val="00D7522E"/>
    <w:rsid w:val="00D766CF"/>
    <w:rsid w:val="00D76794"/>
    <w:rsid w:val="00D77B5D"/>
    <w:rsid w:val="00D800C8"/>
    <w:rsid w:val="00D8036E"/>
    <w:rsid w:val="00D80C31"/>
    <w:rsid w:val="00D81468"/>
    <w:rsid w:val="00D8197E"/>
    <w:rsid w:val="00D819FC"/>
    <w:rsid w:val="00D81E50"/>
    <w:rsid w:val="00D821AD"/>
    <w:rsid w:val="00D83E65"/>
    <w:rsid w:val="00D8416A"/>
    <w:rsid w:val="00D86045"/>
    <w:rsid w:val="00D860BB"/>
    <w:rsid w:val="00D86751"/>
    <w:rsid w:val="00D87B33"/>
    <w:rsid w:val="00D902B6"/>
    <w:rsid w:val="00D90694"/>
    <w:rsid w:val="00D91B66"/>
    <w:rsid w:val="00D94561"/>
    <w:rsid w:val="00D96DF7"/>
    <w:rsid w:val="00D970BF"/>
    <w:rsid w:val="00D97716"/>
    <w:rsid w:val="00D97AF5"/>
    <w:rsid w:val="00DA03E8"/>
    <w:rsid w:val="00DA2D34"/>
    <w:rsid w:val="00DA3BDB"/>
    <w:rsid w:val="00DA5461"/>
    <w:rsid w:val="00DA66A0"/>
    <w:rsid w:val="00DA6B54"/>
    <w:rsid w:val="00DB0A21"/>
    <w:rsid w:val="00DB0BF8"/>
    <w:rsid w:val="00DB102F"/>
    <w:rsid w:val="00DB128C"/>
    <w:rsid w:val="00DB1BEF"/>
    <w:rsid w:val="00DB2613"/>
    <w:rsid w:val="00DB2E55"/>
    <w:rsid w:val="00DB3B08"/>
    <w:rsid w:val="00DB431A"/>
    <w:rsid w:val="00DB5A60"/>
    <w:rsid w:val="00DB7162"/>
    <w:rsid w:val="00DB7D41"/>
    <w:rsid w:val="00DC012C"/>
    <w:rsid w:val="00DC0A06"/>
    <w:rsid w:val="00DC0D79"/>
    <w:rsid w:val="00DC0E55"/>
    <w:rsid w:val="00DC10C1"/>
    <w:rsid w:val="00DC205A"/>
    <w:rsid w:val="00DC2C68"/>
    <w:rsid w:val="00DC3C83"/>
    <w:rsid w:val="00DC3D7E"/>
    <w:rsid w:val="00DC4B5B"/>
    <w:rsid w:val="00DC53A7"/>
    <w:rsid w:val="00DC53B6"/>
    <w:rsid w:val="00DC6DA9"/>
    <w:rsid w:val="00DC6F2A"/>
    <w:rsid w:val="00DC724A"/>
    <w:rsid w:val="00DD030E"/>
    <w:rsid w:val="00DD032B"/>
    <w:rsid w:val="00DD03BD"/>
    <w:rsid w:val="00DD1645"/>
    <w:rsid w:val="00DD17E7"/>
    <w:rsid w:val="00DD18E0"/>
    <w:rsid w:val="00DD1E1F"/>
    <w:rsid w:val="00DD378C"/>
    <w:rsid w:val="00DD4C1D"/>
    <w:rsid w:val="00DD693C"/>
    <w:rsid w:val="00DE0684"/>
    <w:rsid w:val="00DE3569"/>
    <w:rsid w:val="00DE41DA"/>
    <w:rsid w:val="00DE497F"/>
    <w:rsid w:val="00DE60AC"/>
    <w:rsid w:val="00DE6449"/>
    <w:rsid w:val="00DE6A4F"/>
    <w:rsid w:val="00DF0357"/>
    <w:rsid w:val="00DF219C"/>
    <w:rsid w:val="00DF26F3"/>
    <w:rsid w:val="00DF4036"/>
    <w:rsid w:val="00DF4973"/>
    <w:rsid w:val="00DF53AA"/>
    <w:rsid w:val="00DF70A5"/>
    <w:rsid w:val="00DF77F0"/>
    <w:rsid w:val="00E006E8"/>
    <w:rsid w:val="00E00D6C"/>
    <w:rsid w:val="00E01C24"/>
    <w:rsid w:val="00E02DFA"/>
    <w:rsid w:val="00E03F31"/>
    <w:rsid w:val="00E05260"/>
    <w:rsid w:val="00E056AF"/>
    <w:rsid w:val="00E0575B"/>
    <w:rsid w:val="00E0614E"/>
    <w:rsid w:val="00E06B4B"/>
    <w:rsid w:val="00E06CD7"/>
    <w:rsid w:val="00E0701A"/>
    <w:rsid w:val="00E075BA"/>
    <w:rsid w:val="00E07860"/>
    <w:rsid w:val="00E07BFA"/>
    <w:rsid w:val="00E07E38"/>
    <w:rsid w:val="00E10665"/>
    <w:rsid w:val="00E10952"/>
    <w:rsid w:val="00E11DCB"/>
    <w:rsid w:val="00E12C25"/>
    <w:rsid w:val="00E13891"/>
    <w:rsid w:val="00E13983"/>
    <w:rsid w:val="00E13FE0"/>
    <w:rsid w:val="00E14FBA"/>
    <w:rsid w:val="00E150B2"/>
    <w:rsid w:val="00E151FD"/>
    <w:rsid w:val="00E15665"/>
    <w:rsid w:val="00E162A7"/>
    <w:rsid w:val="00E1649E"/>
    <w:rsid w:val="00E16C16"/>
    <w:rsid w:val="00E16F5E"/>
    <w:rsid w:val="00E20249"/>
    <w:rsid w:val="00E21109"/>
    <w:rsid w:val="00E22ED1"/>
    <w:rsid w:val="00E2462F"/>
    <w:rsid w:val="00E2481E"/>
    <w:rsid w:val="00E24D87"/>
    <w:rsid w:val="00E25A5B"/>
    <w:rsid w:val="00E26CF7"/>
    <w:rsid w:val="00E27D16"/>
    <w:rsid w:val="00E30487"/>
    <w:rsid w:val="00E31421"/>
    <w:rsid w:val="00E31788"/>
    <w:rsid w:val="00E31B04"/>
    <w:rsid w:val="00E322B1"/>
    <w:rsid w:val="00E336E1"/>
    <w:rsid w:val="00E3456A"/>
    <w:rsid w:val="00E346FF"/>
    <w:rsid w:val="00E365E1"/>
    <w:rsid w:val="00E379BF"/>
    <w:rsid w:val="00E41E88"/>
    <w:rsid w:val="00E420C9"/>
    <w:rsid w:val="00E42677"/>
    <w:rsid w:val="00E45125"/>
    <w:rsid w:val="00E46C63"/>
    <w:rsid w:val="00E46EA0"/>
    <w:rsid w:val="00E47977"/>
    <w:rsid w:val="00E47F7A"/>
    <w:rsid w:val="00E52364"/>
    <w:rsid w:val="00E52C52"/>
    <w:rsid w:val="00E53AD4"/>
    <w:rsid w:val="00E55756"/>
    <w:rsid w:val="00E566D9"/>
    <w:rsid w:val="00E57DB6"/>
    <w:rsid w:val="00E57FBD"/>
    <w:rsid w:val="00E61565"/>
    <w:rsid w:val="00E61AEF"/>
    <w:rsid w:val="00E61C41"/>
    <w:rsid w:val="00E649FF"/>
    <w:rsid w:val="00E6506F"/>
    <w:rsid w:val="00E663DD"/>
    <w:rsid w:val="00E667B0"/>
    <w:rsid w:val="00E66913"/>
    <w:rsid w:val="00E70132"/>
    <w:rsid w:val="00E70345"/>
    <w:rsid w:val="00E74225"/>
    <w:rsid w:val="00E756B5"/>
    <w:rsid w:val="00E75A21"/>
    <w:rsid w:val="00E776D8"/>
    <w:rsid w:val="00E83585"/>
    <w:rsid w:val="00E837A0"/>
    <w:rsid w:val="00E851D9"/>
    <w:rsid w:val="00E85851"/>
    <w:rsid w:val="00E85ECF"/>
    <w:rsid w:val="00E86FA8"/>
    <w:rsid w:val="00E87709"/>
    <w:rsid w:val="00E90D34"/>
    <w:rsid w:val="00E91804"/>
    <w:rsid w:val="00E91A34"/>
    <w:rsid w:val="00E92196"/>
    <w:rsid w:val="00E9340A"/>
    <w:rsid w:val="00E95883"/>
    <w:rsid w:val="00E96668"/>
    <w:rsid w:val="00E97703"/>
    <w:rsid w:val="00EA214D"/>
    <w:rsid w:val="00EA339E"/>
    <w:rsid w:val="00EA3F7A"/>
    <w:rsid w:val="00EA3FEC"/>
    <w:rsid w:val="00EA441E"/>
    <w:rsid w:val="00EA50C9"/>
    <w:rsid w:val="00EA5B6C"/>
    <w:rsid w:val="00EA71FB"/>
    <w:rsid w:val="00EB131D"/>
    <w:rsid w:val="00EB1EFA"/>
    <w:rsid w:val="00EB211D"/>
    <w:rsid w:val="00EB219D"/>
    <w:rsid w:val="00EB2AF0"/>
    <w:rsid w:val="00EB4906"/>
    <w:rsid w:val="00EB5E90"/>
    <w:rsid w:val="00EB7F3A"/>
    <w:rsid w:val="00EC038C"/>
    <w:rsid w:val="00EC1239"/>
    <w:rsid w:val="00EC190E"/>
    <w:rsid w:val="00EC266C"/>
    <w:rsid w:val="00EC3681"/>
    <w:rsid w:val="00EC4893"/>
    <w:rsid w:val="00EC495F"/>
    <w:rsid w:val="00EC6048"/>
    <w:rsid w:val="00EC660F"/>
    <w:rsid w:val="00EC6747"/>
    <w:rsid w:val="00EC6CC9"/>
    <w:rsid w:val="00EC77A5"/>
    <w:rsid w:val="00EC7BA4"/>
    <w:rsid w:val="00ED0326"/>
    <w:rsid w:val="00ED04C4"/>
    <w:rsid w:val="00ED1928"/>
    <w:rsid w:val="00ED2307"/>
    <w:rsid w:val="00ED3218"/>
    <w:rsid w:val="00ED3C60"/>
    <w:rsid w:val="00ED5285"/>
    <w:rsid w:val="00ED5AA4"/>
    <w:rsid w:val="00ED5C69"/>
    <w:rsid w:val="00ED72C2"/>
    <w:rsid w:val="00ED73B3"/>
    <w:rsid w:val="00EE1143"/>
    <w:rsid w:val="00EE11E6"/>
    <w:rsid w:val="00EE2204"/>
    <w:rsid w:val="00EE23D4"/>
    <w:rsid w:val="00EE2894"/>
    <w:rsid w:val="00EE3107"/>
    <w:rsid w:val="00EE49FB"/>
    <w:rsid w:val="00EE63FE"/>
    <w:rsid w:val="00EF0C23"/>
    <w:rsid w:val="00EF126E"/>
    <w:rsid w:val="00EF135D"/>
    <w:rsid w:val="00EF14A3"/>
    <w:rsid w:val="00EF1B1C"/>
    <w:rsid w:val="00EF3A53"/>
    <w:rsid w:val="00EF3AF1"/>
    <w:rsid w:val="00EF4B77"/>
    <w:rsid w:val="00EF5173"/>
    <w:rsid w:val="00EF5B79"/>
    <w:rsid w:val="00EF6208"/>
    <w:rsid w:val="00EF6645"/>
    <w:rsid w:val="00EF6F18"/>
    <w:rsid w:val="00EF7355"/>
    <w:rsid w:val="00EF7F68"/>
    <w:rsid w:val="00F00536"/>
    <w:rsid w:val="00F00E10"/>
    <w:rsid w:val="00F018F6"/>
    <w:rsid w:val="00F0387B"/>
    <w:rsid w:val="00F03937"/>
    <w:rsid w:val="00F03C18"/>
    <w:rsid w:val="00F0524B"/>
    <w:rsid w:val="00F062C5"/>
    <w:rsid w:val="00F06483"/>
    <w:rsid w:val="00F06BAD"/>
    <w:rsid w:val="00F07A40"/>
    <w:rsid w:val="00F10A91"/>
    <w:rsid w:val="00F10D3E"/>
    <w:rsid w:val="00F10E00"/>
    <w:rsid w:val="00F11711"/>
    <w:rsid w:val="00F11B6D"/>
    <w:rsid w:val="00F13D02"/>
    <w:rsid w:val="00F13E47"/>
    <w:rsid w:val="00F143EA"/>
    <w:rsid w:val="00F14DC0"/>
    <w:rsid w:val="00F1537B"/>
    <w:rsid w:val="00F16ACA"/>
    <w:rsid w:val="00F17FC7"/>
    <w:rsid w:val="00F201EE"/>
    <w:rsid w:val="00F202A0"/>
    <w:rsid w:val="00F20763"/>
    <w:rsid w:val="00F224CB"/>
    <w:rsid w:val="00F231A2"/>
    <w:rsid w:val="00F259DE"/>
    <w:rsid w:val="00F25AF0"/>
    <w:rsid w:val="00F2689E"/>
    <w:rsid w:val="00F26F92"/>
    <w:rsid w:val="00F27127"/>
    <w:rsid w:val="00F27182"/>
    <w:rsid w:val="00F273FF"/>
    <w:rsid w:val="00F32CE9"/>
    <w:rsid w:val="00F332E2"/>
    <w:rsid w:val="00F33CAD"/>
    <w:rsid w:val="00F34A8B"/>
    <w:rsid w:val="00F35175"/>
    <w:rsid w:val="00F35A9A"/>
    <w:rsid w:val="00F3627B"/>
    <w:rsid w:val="00F36973"/>
    <w:rsid w:val="00F3792F"/>
    <w:rsid w:val="00F37BCE"/>
    <w:rsid w:val="00F403B0"/>
    <w:rsid w:val="00F4077A"/>
    <w:rsid w:val="00F40A6C"/>
    <w:rsid w:val="00F44FD2"/>
    <w:rsid w:val="00F46404"/>
    <w:rsid w:val="00F4772D"/>
    <w:rsid w:val="00F50838"/>
    <w:rsid w:val="00F5125F"/>
    <w:rsid w:val="00F51EF2"/>
    <w:rsid w:val="00F51F0F"/>
    <w:rsid w:val="00F52EE2"/>
    <w:rsid w:val="00F53A58"/>
    <w:rsid w:val="00F54FCE"/>
    <w:rsid w:val="00F56615"/>
    <w:rsid w:val="00F57267"/>
    <w:rsid w:val="00F60547"/>
    <w:rsid w:val="00F6268C"/>
    <w:rsid w:val="00F626BC"/>
    <w:rsid w:val="00F63CC2"/>
    <w:rsid w:val="00F645A1"/>
    <w:rsid w:val="00F64F37"/>
    <w:rsid w:val="00F65C72"/>
    <w:rsid w:val="00F67939"/>
    <w:rsid w:val="00F70A77"/>
    <w:rsid w:val="00F72033"/>
    <w:rsid w:val="00F72A0A"/>
    <w:rsid w:val="00F732B1"/>
    <w:rsid w:val="00F737C8"/>
    <w:rsid w:val="00F73D5C"/>
    <w:rsid w:val="00F80761"/>
    <w:rsid w:val="00F80E3F"/>
    <w:rsid w:val="00F81920"/>
    <w:rsid w:val="00F8582E"/>
    <w:rsid w:val="00F85FA5"/>
    <w:rsid w:val="00F862C1"/>
    <w:rsid w:val="00F866DB"/>
    <w:rsid w:val="00F9220A"/>
    <w:rsid w:val="00F92BC8"/>
    <w:rsid w:val="00F92CE2"/>
    <w:rsid w:val="00F93A79"/>
    <w:rsid w:val="00F95135"/>
    <w:rsid w:val="00F95CBC"/>
    <w:rsid w:val="00F95FF5"/>
    <w:rsid w:val="00F96AC9"/>
    <w:rsid w:val="00F96DF0"/>
    <w:rsid w:val="00F97C6A"/>
    <w:rsid w:val="00FA00A0"/>
    <w:rsid w:val="00FA0520"/>
    <w:rsid w:val="00FA05E3"/>
    <w:rsid w:val="00FA07EE"/>
    <w:rsid w:val="00FA08AF"/>
    <w:rsid w:val="00FA0E77"/>
    <w:rsid w:val="00FA2059"/>
    <w:rsid w:val="00FA3741"/>
    <w:rsid w:val="00FA3C90"/>
    <w:rsid w:val="00FA533A"/>
    <w:rsid w:val="00FA5801"/>
    <w:rsid w:val="00FA6FD5"/>
    <w:rsid w:val="00FA7179"/>
    <w:rsid w:val="00FA767B"/>
    <w:rsid w:val="00FA7AA6"/>
    <w:rsid w:val="00FB06B3"/>
    <w:rsid w:val="00FB0E61"/>
    <w:rsid w:val="00FB1261"/>
    <w:rsid w:val="00FB1833"/>
    <w:rsid w:val="00FB1B68"/>
    <w:rsid w:val="00FB2C84"/>
    <w:rsid w:val="00FB2E4C"/>
    <w:rsid w:val="00FB3801"/>
    <w:rsid w:val="00FB3A4E"/>
    <w:rsid w:val="00FC176B"/>
    <w:rsid w:val="00FC1D3E"/>
    <w:rsid w:val="00FC40E7"/>
    <w:rsid w:val="00FC435B"/>
    <w:rsid w:val="00FC4724"/>
    <w:rsid w:val="00FC4D0A"/>
    <w:rsid w:val="00FC57F0"/>
    <w:rsid w:val="00FC59ED"/>
    <w:rsid w:val="00FC776C"/>
    <w:rsid w:val="00FC7B63"/>
    <w:rsid w:val="00FD0445"/>
    <w:rsid w:val="00FD0D5C"/>
    <w:rsid w:val="00FD325D"/>
    <w:rsid w:val="00FD37D8"/>
    <w:rsid w:val="00FD3AAE"/>
    <w:rsid w:val="00FD3C7C"/>
    <w:rsid w:val="00FD3E77"/>
    <w:rsid w:val="00FD4EB1"/>
    <w:rsid w:val="00FD52C5"/>
    <w:rsid w:val="00FD5547"/>
    <w:rsid w:val="00FE019F"/>
    <w:rsid w:val="00FE05E1"/>
    <w:rsid w:val="00FE177F"/>
    <w:rsid w:val="00FE30C5"/>
    <w:rsid w:val="00FE3D52"/>
    <w:rsid w:val="00FE479C"/>
    <w:rsid w:val="00FE5F18"/>
    <w:rsid w:val="00FF0475"/>
    <w:rsid w:val="00FF1447"/>
    <w:rsid w:val="00FF170C"/>
    <w:rsid w:val="00FF1CFF"/>
    <w:rsid w:val="00FF261A"/>
    <w:rsid w:val="00FF2668"/>
    <w:rsid w:val="00FF2717"/>
    <w:rsid w:val="00FF2ED2"/>
    <w:rsid w:val="00FF49A0"/>
    <w:rsid w:val="00FF5825"/>
    <w:rsid w:val="00FF70DB"/>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236A"/>
    <w:rPr>
      <w:rFonts w:ascii="Arial" w:hAnsi="Arial"/>
      <w:sz w:val="22"/>
      <w:szCs w:val="22"/>
    </w:rPr>
  </w:style>
  <w:style w:type="paragraph" w:styleId="berschrift1">
    <w:name w:val="heading 1"/>
    <w:basedOn w:val="Standard"/>
    <w:next w:val="Standard"/>
    <w:link w:val="berschrift1Zchn"/>
    <w:qFormat/>
    <w:rsid w:val="003A6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40181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6236A"/>
    <w:pPr>
      <w:tabs>
        <w:tab w:val="center" w:pos="4536"/>
        <w:tab w:val="right" w:pos="9072"/>
      </w:tabs>
    </w:pPr>
  </w:style>
  <w:style w:type="paragraph" w:styleId="Fuzeile">
    <w:name w:val="footer"/>
    <w:basedOn w:val="Standard"/>
    <w:semiHidden/>
    <w:rsid w:val="00A6236A"/>
    <w:pPr>
      <w:tabs>
        <w:tab w:val="center" w:pos="4536"/>
        <w:tab w:val="right" w:pos="9072"/>
      </w:tabs>
    </w:pPr>
  </w:style>
  <w:style w:type="paragraph" w:customStyle="1" w:styleId="Copytext">
    <w:name w:val="Copytext"/>
    <w:basedOn w:val="Fuzeile"/>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StandardWeb">
    <w:name w:val="Normal (Web)"/>
    <w:basedOn w:val="Standard"/>
    <w:uiPriority w:val="99"/>
    <w:rsid w:val="00A6236A"/>
    <w:pPr>
      <w:spacing w:before="100" w:beforeAutospacing="1" w:after="100" w:afterAutospacing="1"/>
    </w:pPr>
    <w:rPr>
      <w:rFonts w:ascii="Times New Roman" w:hAnsi="Times New Roman"/>
      <w:sz w:val="24"/>
      <w:szCs w:val="24"/>
    </w:rPr>
  </w:style>
  <w:style w:type="character" w:styleId="Kommentarzeichen">
    <w:name w:val="annotation reference"/>
    <w:semiHidden/>
    <w:rsid w:val="00A6236A"/>
    <w:rPr>
      <w:sz w:val="16"/>
      <w:szCs w:val="16"/>
    </w:rPr>
  </w:style>
  <w:style w:type="paragraph" w:styleId="Kommentartext">
    <w:name w:val="annotation text"/>
    <w:basedOn w:val="Standard"/>
    <w:link w:val="KommentartextZchn"/>
    <w:uiPriority w:val="99"/>
    <w:semiHidden/>
    <w:rsid w:val="00A6236A"/>
    <w:rPr>
      <w:sz w:val="20"/>
      <w:szCs w:val="20"/>
    </w:rPr>
  </w:style>
  <w:style w:type="paragraph" w:styleId="Listenabsatz">
    <w:name w:val="List Paragraph"/>
    <w:basedOn w:val="Standard"/>
    <w:qFormat/>
    <w:rsid w:val="00A6236A"/>
    <w:pPr>
      <w:spacing w:after="200"/>
      <w:ind w:left="720"/>
      <w:contextualSpacing/>
    </w:pPr>
    <w:rPr>
      <w:rFonts w:eastAsia="MS Mincho"/>
    </w:rPr>
  </w:style>
  <w:style w:type="paragraph" w:styleId="Funotentext">
    <w:name w:val="footnote text"/>
    <w:basedOn w:val="Standard"/>
    <w:link w:val="FunotentextZchn"/>
    <w:semiHidden/>
    <w:unhideWhenUsed/>
    <w:rsid w:val="00A6236A"/>
    <w:rPr>
      <w:sz w:val="20"/>
      <w:szCs w:val="20"/>
    </w:rPr>
  </w:style>
  <w:style w:type="character" w:customStyle="1" w:styleId="FunotentextZchn">
    <w:name w:val="Fußnotentext Zchn"/>
    <w:link w:val="Funotentext"/>
    <w:semiHidden/>
    <w:rsid w:val="00A6236A"/>
    <w:rPr>
      <w:rFonts w:ascii="Arial" w:hAnsi="Arial"/>
    </w:rPr>
  </w:style>
  <w:style w:type="character" w:styleId="Funotenzeichen">
    <w:name w:val="footnote reference"/>
    <w:semiHidden/>
    <w:unhideWhenUsed/>
    <w:rsid w:val="00A6236A"/>
    <w:rPr>
      <w:vertAlign w:val="superscript"/>
    </w:rPr>
  </w:style>
  <w:style w:type="paragraph" w:styleId="Sprechblasentext">
    <w:name w:val="Balloon Text"/>
    <w:basedOn w:val="Standard"/>
    <w:semiHidden/>
    <w:rsid w:val="00A6236A"/>
    <w:rPr>
      <w:rFonts w:ascii="Tahoma" w:hAnsi="Tahoma" w:cs="Tahoma"/>
      <w:sz w:val="16"/>
      <w:szCs w:val="16"/>
    </w:rPr>
  </w:style>
  <w:style w:type="paragraph" w:styleId="Kommentarthema">
    <w:name w:val="annotation subject"/>
    <w:basedOn w:val="Kommentartext"/>
    <w:next w:val="Kommentartext"/>
    <w:semiHidden/>
    <w:rsid w:val="00403CBC"/>
    <w:rPr>
      <w:b/>
      <w:bCs/>
    </w:rPr>
  </w:style>
  <w:style w:type="character" w:styleId="Seitenzahl">
    <w:name w:val="page number"/>
    <w:basedOn w:val="Absatz-Standardschriftart"/>
    <w:rsid w:val="002A7134"/>
  </w:style>
  <w:style w:type="character" w:styleId="Fett">
    <w:name w:val="Strong"/>
    <w:qFormat/>
    <w:rsid w:val="00C5493A"/>
    <w:rPr>
      <w:b/>
      <w:bCs/>
    </w:rPr>
  </w:style>
  <w:style w:type="character" w:customStyle="1" w:styleId="KommentartextZchn">
    <w:name w:val="Kommentartext Zchn"/>
    <w:link w:val="Kommentartext"/>
    <w:uiPriority w:val="99"/>
    <w:semiHidden/>
    <w:rsid w:val="00576B21"/>
    <w:rPr>
      <w:rFonts w:ascii="Arial" w:hAnsi="Arial"/>
    </w:rPr>
  </w:style>
  <w:style w:type="table" w:styleId="Tabellenraster">
    <w:name w:val="Table Grid"/>
    <w:basedOn w:val="NormaleTabelle"/>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40181A"/>
    <w:rPr>
      <w:rFonts w:ascii="Arial" w:hAnsi="Arial" w:cs="Arial"/>
      <w:b/>
      <w:bCs/>
      <w:sz w:val="26"/>
      <w:szCs w:val="26"/>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rPr>
  </w:style>
  <w:style w:type="character" w:styleId="Hervorhebung">
    <w:name w:val="Emphasis"/>
    <w:uiPriority w:val="20"/>
    <w:qFormat/>
    <w:rsid w:val="00176FC9"/>
    <w:rPr>
      <w:i/>
      <w:iCs/>
    </w:rPr>
  </w:style>
  <w:style w:type="character" w:styleId="Besuchter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 w:type="character" w:customStyle="1" w:styleId="berschrift1Zchn">
    <w:name w:val="Überschrift 1 Zchn"/>
    <w:basedOn w:val="Absatz-Standardschriftart"/>
    <w:link w:val="berschrift1"/>
    <w:rsid w:val="003A6A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236A"/>
    <w:rPr>
      <w:rFonts w:ascii="Arial" w:hAnsi="Arial"/>
      <w:sz w:val="22"/>
      <w:szCs w:val="22"/>
    </w:rPr>
  </w:style>
  <w:style w:type="paragraph" w:styleId="berschrift1">
    <w:name w:val="heading 1"/>
    <w:basedOn w:val="Standard"/>
    <w:next w:val="Standard"/>
    <w:link w:val="berschrift1Zchn"/>
    <w:qFormat/>
    <w:rsid w:val="003A6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40181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6236A"/>
    <w:pPr>
      <w:tabs>
        <w:tab w:val="center" w:pos="4536"/>
        <w:tab w:val="right" w:pos="9072"/>
      </w:tabs>
    </w:pPr>
  </w:style>
  <w:style w:type="paragraph" w:styleId="Fuzeile">
    <w:name w:val="footer"/>
    <w:basedOn w:val="Standard"/>
    <w:semiHidden/>
    <w:rsid w:val="00A6236A"/>
    <w:pPr>
      <w:tabs>
        <w:tab w:val="center" w:pos="4536"/>
        <w:tab w:val="right" w:pos="9072"/>
      </w:tabs>
    </w:pPr>
  </w:style>
  <w:style w:type="paragraph" w:customStyle="1" w:styleId="Copytext">
    <w:name w:val="Copytext"/>
    <w:basedOn w:val="Fuzeile"/>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StandardWeb">
    <w:name w:val="Normal (Web)"/>
    <w:basedOn w:val="Standard"/>
    <w:uiPriority w:val="99"/>
    <w:rsid w:val="00A6236A"/>
    <w:pPr>
      <w:spacing w:before="100" w:beforeAutospacing="1" w:after="100" w:afterAutospacing="1"/>
    </w:pPr>
    <w:rPr>
      <w:rFonts w:ascii="Times New Roman" w:hAnsi="Times New Roman"/>
      <w:sz w:val="24"/>
      <w:szCs w:val="24"/>
    </w:rPr>
  </w:style>
  <w:style w:type="character" w:styleId="Kommentarzeichen">
    <w:name w:val="annotation reference"/>
    <w:semiHidden/>
    <w:rsid w:val="00A6236A"/>
    <w:rPr>
      <w:sz w:val="16"/>
      <w:szCs w:val="16"/>
    </w:rPr>
  </w:style>
  <w:style w:type="paragraph" w:styleId="Kommentartext">
    <w:name w:val="annotation text"/>
    <w:basedOn w:val="Standard"/>
    <w:link w:val="KommentartextZchn"/>
    <w:uiPriority w:val="99"/>
    <w:semiHidden/>
    <w:rsid w:val="00A6236A"/>
    <w:rPr>
      <w:sz w:val="20"/>
      <w:szCs w:val="20"/>
    </w:rPr>
  </w:style>
  <w:style w:type="paragraph" w:styleId="Listenabsatz">
    <w:name w:val="List Paragraph"/>
    <w:basedOn w:val="Standard"/>
    <w:qFormat/>
    <w:rsid w:val="00A6236A"/>
    <w:pPr>
      <w:spacing w:after="200"/>
      <w:ind w:left="720"/>
      <w:contextualSpacing/>
    </w:pPr>
    <w:rPr>
      <w:rFonts w:eastAsia="MS Mincho"/>
    </w:rPr>
  </w:style>
  <w:style w:type="paragraph" w:styleId="Funotentext">
    <w:name w:val="footnote text"/>
    <w:basedOn w:val="Standard"/>
    <w:link w:val="FunotentextZchn"/>
    <w:semiHidden/>
    <w:unhideWhenUsed/>
    <w:rsid w:val="00A6236A"/>
    <w:rPr>
      <w:sz w:val="20"/>
      <w:szCs w:val="20"/>
    </w:rPr>
  </w:style>
  <w:style w:type="character" w:customStyle="1" w:styleId="FunotentextZchn">
    <w:name w:val="Fußnotentext Zchn"/>
    <w:link w:val="Funotentext"/>
    <w:semiHidden/>
    <w:rsid w:val="00A6236A"/>
    <w:rPr>
      <w:rFonts w:ascii="Arial" w:hAnsi="Arial"/>
    </w:rPr>
  </w:style>
  <w:style w:type="character" w:styleId="Funotenzeichen">
    <w:name w:val="footnote reference"/>
    <w:semiHidden/>
    <w:unhideWhenUsed/>
    <w:rsid w:val="00A6236A"/>
    <w:rPr>
      <w:vertAlign w:val="superscript"/>
    </w:rPr>
  </w:style>
  <w:style w:type="paragraph" w:styleId="Sprechblasentext">
    <w:name w:val="Balloon Text"/>
    <w:basedOn w:val="Standard"/>
    <w:semiHidden/>
    <w:rsid w:val="00A6236A"/>
    <w:rPr>
      <w:rFonts w:ascii="Tahoma" w:hAnsi="Tahoma" w:cs="Tahoma"/>
      <w:sz w:val="16"/>
      <w:szCs w:val="16"/>
    </w:rPr>
  </w:style>
  <w:style w:type="paragraph" w:styleId="Kommentarthema">
    <w:name w:val="annotation subject"/>
    <w:basedOn w:val="Kommentartext"/>
    <w:next w:val="Kommentartext"/>
    <w:semiHidden/>
    <w:rsid w:val="00403CBC"/>
    <w:rPr>
      <w:b/>
      <w:bCs/>
    </w:rPr>
  </w:style>
  <w:style w:type="character" w:styleId="Seitenzahl">
    <w:name w:val="page number"/>
    <w:basedOn w:val="Absatz-Standardschriftart"/>
    <w:rsid w:val="002A7134"/>
  </w:style>
  <w:style w:type="character" w:styleId="Fett">
    <w:name w:val="Strong"/>
    <w:qFormat/>
    <w:rsid w:val="00C5493A"/>
    <w:rPr>
      <w:b/>
      <w:bCs/>
    </w:rPr>
  </w:style>
  <w:style w:type="character" w:customStyle="1" w:styleId="KommentartextZchn">
    <w:name w:val="Kommentartext Zchn"/>
    <w:link w:val="Kommentartext"/>
    <w:uiPriority w:val="99"/>
    <w:semiHidden/>
    <w:rsid w:val="00576B21"/>
    <w:rPr>
      <w:rFonts w:ascii="Arial" w:hAnsi="Arial"/>
    </w:rPr>
  </w:style>
  <w:style w:type="table" w:styleId="Tabellenraster">
    <w:name w:val="Table Grid"/>
    <w:basedOn w:val="NormaleTabelle"/>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40181A"/>
    <w:rPr>
      <w:rFonts w:ascii="Arial" w:hAnsi="Arial" w:cs="Arial"/>
      <w:b/>
      <w:bCs/>
      <w:sz w:val="26"/>
      <w:szCs w:val="26"/>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rPr>
  </w:style>
  <w:style w:type="character" w:styleId="Hervorhebung">
    <w:name w:val="Emphasis"/>
    <w:uiPriority w:val="20"/>
    <w:qFormat/>
    <w:rsid w:val="00176FC9"/>
    <w:rPr>
      <w:i/>
      <w:iCs/>
    </w:rPr>
  </w:style>
  <w:style w:type="character" w:styleId="Besuchter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 w:type="character" w:customStyle="1" w:styleId="berschrift1Zchn">
    <w:name w:val="Überschrift 1 Zchn"/>
    <w:basedOn w:val="Absatz-Standardschriftart"/>
    <w:link w:val="berschrift1"/>
    <w:rsid w:val="003A6A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742">
      <w:bodyDiv w:val="1"/>
      <w:marLeft w:val="0"/>
      <w:marRight w:val="0"/>
      <w:marTop w:val="0"/>
      <w:marBottom w:val="0"/>
      <w:divBdr>
        <w:top w:val="none" w:sz="0" w:space="0" w:color="auto"/>
        <w:left w:val="none" w:sz="0" w:space="0" w:color="auto"/>
        <w:bottom w:val="none" w:sz="0" w:space="0" w:color="auto"/>
        <w:right w:val="none" w:sz="0" w:space="0" w:color="auto"/>
      </w:divBdr>
    </w:div>
    <w:div w:id="164055255">
      <w:bodyDiv w:val="1"/>
      <w:marLeft w:val="0"/>
      <w:marRight w:val="0"/>
      <w:marTop w:val="0"/>
      <w:marBottom w:val="0"/>
      <w:divBdr>
        <w:top w:val="none" w:sz="0" w:space="0" w:color="auto"/>
        <w:left w:val="none" w:sz="0" w:space="0" w:color="auto"/>
        <w:bottom w:val="none" w:sz="0" w:space="0" w:color="auto"/>
        <w:right w:val="none" w:sz="0" w:space="0" w:color="auto"/>
      </w:divBdr>
    </w:div>
    <w:div w:id="210046239">
      <w:bodyDiv w:val="1"/>
      <w:marLeft w:val="0"/>
      <w:marRight w:val="0"/>
      <w:marTop w:val="0"/>
      <w:marBottom w:val="0"/>
      <w:divBdr>
        <w:top w:val="none" w:sz="0" w:space="0" w:color="auto"/>
        <w:left w:val="none" w:sz="0" w:space="0" w:color="auto"/>
        <w:bottom w:val="none" w:sz="0" w:space="0" w:color="auto"/>
        <w:right w:val="none" w:sz="0" w:space="0" w:color="auto"/>
      </w:divBdr>
    </w:div>
    <w:div w:id="220678050">
      <w:bodyDiv w:val="1"/>
      <w:marLeft w:val="0"/>
      <w:marRight w:val="0"/>
      <w:marTop w:val="0"/>
      <w:marBottom w:val="0"/>
      <w:divBdr>
        <w:top w:val="none" w:sz="0" w:space="0" w:color="auto"/>
        <w:left w:val="none" w:sz="0" w:space="0" w:color="auto"/>
        <w:bottom w:val="none" w:sz="0" w:space="0" w:color="auto"/>
        <w:right w:val="none" w:sz="0" w:space="0" w:color="auto"/>
      </w:divBdr>
    </w:div>
    <w:div w:id="760950100">
      <w:bodyDiv w:val="1"/>
      <w:marLeft w:val="0"/>
      <w:marRight w:val="0"/>
      <w:marTop w:val="0"/>
      <w:marBottom w:val="0"/>
      <w:divBdr>
        <w:top w:val="none" w:sz="0" w:space="0" w:color="auto"/>
        <w:left w:val="none" w:sz="0" w:space="0" w:color="auto"/>
        <w:bottom w:val="none" w:sz="0" w:space="0" w:color="auto"/>
        <w:right w:val="none" w:sz="0" w:space="0" w:color="auto"/>
      </w:divBdr>
    </w:div>
    <w:div w:id="996882835">
      <w:bodyDiv w:val="1"/>
      <w:marLeft w:val="0"/>
      <w:marRight w:val="0"/>
      <w:marTop w:val="0"/>
      <w:marBottom w:val="0"/>
      <w:divBdr>
        <w:top w:val="none" w:sz="0" w:space="0" w:color="auto"/>
        <w:left w:val="none" w:sz="0" w:space="0" w:color="auto"/>
        <w:bottom w:val="none" w:sz="0" w:space="0" w:color="auto"/>
        <w:right w:val="none" w:sz="0" w:space="0" w:color="auto"/>
      </w:divBdr>
    </w:div>
    <w:div w:id="1000425028">
      <w:bodyDiv w:val="1"/>
      <w:marLeft w:val="0"/>
      <w:marRight w:val="0"/>
      <w:marTop w:val="0"/>
      <w:marBottom w:val="0"/>
      <w:divBdr>
        <w:top w:val="none" w:sz="0" w:space="0" w:color="auto"/>
        <w:left w:val="none" w:sz="0" w:space="0" w:color="auto"/>
        <w:bottom w:val="none" w:sz="0" w:space="0" w:color="auto"/>
        <w:right w:val="none" w:sz="0" w:space="0" w:color="auto"/>
      </w:divBdr>
    </w:div>
    <w:div w:id="1174491012">
      <w:bodyDiv w:val="1"/>
      <w:marLeft w:val="0"/>
      <w:marRight w:val="0"/>
      <w:marTop w:val="0"/>
      <w:marBottom w:val="0"/>
      <w:divBdr>
        <w:top w:val="none" w:sz="0" w:space="0" w:color="auto"/>
        <w:left w:val="none" w:sz="0" w:space="0" w:color="auto"/>
        <w:bottom w:val="none" w:sz="0" w:space="0" w:color="auto"/>
        <w:right w:val="none" w:sz="0" w:space="0" w:color="auto"/>
      </w:divBdr>
    </w:div>
    <w:div w:id="1182821691">
      <w:bodyDiv w:val="1"/>
      <w:marLeft w:val="0"/>
      <w:marRight w:val="0"/>
      <w:marTop w:val="0"/>
      <w:marBottom w:val="0"/>
      <w:divBdr>
        <w:top w:val="none" w:sz="0" w:space="0" w:color="auto"/>
        <w:left w:val="none" w:sz="0" w:space="0" w:color="auto"/>
        <w:bottom w:val="none" w:sz="0" w:space="0" w:color="auto"/>
        <w:right w:val="none" w:sz="0" w:space="0" w:color="auto"/>
      </w:divBdr>
    </w:div>
    <w:div w:id="1380009360">
      <w:bodyDiv w:val="1"/>
      <w:marLeft w:val="0"/>
      <w:marRight w:val="0"/>
      <w:marTop w:val="0"/>
      <w:marBottom w:val="0"/>
      <w:divBdr>
        <w:top w:val="none" w:sz="0" w:space="0" w:color="auto"/>
        <w:left w:val="none" w:sz="0" w:space="0" w:color="auto"/>
        <w:bottom w:val="none" w:sz="0" w:space="0" w:color="auto"/>
        <w:right w:val="none" w:sz="0" w:space="0" w:color="auto"/>
      </w:divBdr>
    </w:div>
    <w:div w:id="1482691617">
      <w:bodyDiv w:val="1"/>
      <w:marLeft w:val="0"/>
      <w:marRight w:val="0"/>
      <w:marTop w:val="0"/>
      <w:marBottom w:val="0"/>
      <w:divBdr>
        <w:top w:val="none" w:sz="0" w:space="0" w:color="auto"/>
        <w:left w:val="none" w:sz="0" w:space="0" w:color="auto"/>
        <w:bottom w:val="none" w:sz="0" w:space="0" w:color="auto"/>
        <w:right w:val="none" w:sz="0" w:space="0" w:color="auto"/>
      </w:divBdr>
    </w:div>
    <w:div w:id="1512842803">
      <w:bodyDiv w:val="1"/>
      <w:marLeft w:val="0"/>
      <w:marRight w:val="0"/>
      <w:marTop w:val="0"/>
      <w:marBottom w:val="0"/>
      <w:divBdr>
        <w:top w:val="none" w:sz="0" w:space="0" w:color="auto"/>
        <w:left w:val="none" w:sz="0" w:space="0" w:color="auto"/>
        <w:bottom w:val="none" w:sz="0" w:space="0" w:color="auto"/>
        <w:right w:val="none" w:sz="0" w:space="0" w:color="auto"/>
      </w:divBdr>
    </w:div>
    <w:div w:id="1520119775">
      <w:bodyDiv w:val="1"/>
      <w:marLeft w:val="0"/>
      <w:marRight w:val="0"/>
      <w:marTop w:val="0"/>
      <w:marBottom w:val="0"/>
      <w:divBdr>
        <w:top w:val="none" w:sz="0" w:space="0" w:color="auto"/>
        <w:left w:val="none" w:sz="0" w:space="0" w:color="auto"/>
        <w:bottom w:val="none" w:sz="0" w:space="0" w:color="auto"/>
        <w:right w:val="none" w:sz="0" w:space="0" w:color="auto"/>
      </w:divBdr>
      <w:divsChild>
        <w:div w:id="664630963">
          <w:marLeft w:val="0"/>
          <w:marRight w:val="0"/>
          <w:marTop w:val="0"/>
          <w:marBottom w:val="0"/>
          <w:divBdr>
            <w:top w:val="none" w:sz="0" w:space="0" w:color="auto"/>
            <w:left w:val="none" w:sz="0" w:space="0" w:color="auto"/>
            <w:bottom w:val="none" w:sz="0" w:space="0" w:color="auto"/>
            <w:right w:val="none" w:sz="0" w:space="0" w:color="auto"/>
          </w:divBdr>
          <w:divsChild>
            <w:div w:id="1816221610">
              <w:marLeft w:val="0"/>
              <w:marRight w:val="0"/>
              <w:marTop w:val="0"/>
              <w:marBottom w:val="0"/>
              <w:divBdr>
                <w:top w:val="none" w:sz="0" w:space="0" w:color="auto"/>
                <w:left w:val="none" w:sz="0" w:space="0" w:color="auto"/>
                <w:bottom w:val="none" w:sz="0" w:space="0" w:color="auto"/>
                <w:right w:val="none" w:sz="0" w:space="0" w:color="auto"/>
              </w:divBdr>
              <w:divsChild>
                <w:div w:id="250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929">
      <w:bodyDiv w:val="1"/>
      <w:marLeft w:val="0"/>
      <w:marRight w:val="0"/>
      <w:marTop w:val="0"/>
      <w:marBottom w:val="0"/>
      <w:divBdr>
        <w:top w:val="none" w:sz="0" w:space="0" w:color="auto"/>
        <w:left w:val="none" w:sz="0" w:space="0" w:color="auto"/>
        <w:bottom w:val="none" w:sz="0" w:space="0" w:color="auto"/>
        <w:right w:val="none" w:sz="0" w:space="0" w:color="auto"/>
      </w:divBdr>
    </w:div>
    <w:div w:id="1608082761">
      <w:bodyDiv w:val="1"/>
      <w:marLeft w:val="0"/>
      <w:marRight w:val="0"/>
      <w:marTop w:val="0"/>
      <w:marBottom w:val="0"/>
      <w:divBdr>
        <w:top w:val="none" w:sz="0" w:space="0" w:color="auto"/>
        <w:left w:val="none" w:sz="0" w:space="0" w:color="auto"/>
        <w:bottom w:val="none" w:sz="0" w:space="0" w:color="auto"/>
        <w:right w:val="none" w:sz="0" w:space="0" w:color="auto"/>
      </w:divBdr>
    </w:div>
    <w:div w:id="1619068571">
      <w:bodyDiv w:val="1"/>
      <w:marLeft w:val="0"/>
      <w:marRight w:val="0"/>
      <w:marTop w:val="0"/>
      <w:marBottom w:val="0"/>
      <w:divBdr>
        <w:top w:val="none" w:sz="0" w:space="0" w:color="auto"/>
        <w:left w:val="none" w:sz="0" w:space="0" w:color="auto"/>
        <w:bottom w:val="none" w:sz="0" w:space="0" w:color="auto"/>
        <w:right w:val="none" w:sz="0" w:space="0" w:color="auto"/>
      </w:divBdr>
    </w:div>
    <w:div w:id="1966807819">
      <w:bodyDiv w:val="1"/>
      <w:marLeft w:val="0"/>
      <w:marRight w:val="0"/>
      <w:marTop w:val="0"/>
      <w:marBottom w:val="0"/>
      <w:divBdr>
        <w:top w:val="none" w:sz="0" w:space="0" w:color="auto"/>
        <w:left w:val="none" w:sz="0" w:space="0" w:color="auto"/>
        <w:bottom w:val="none" w:sz="0" w:space="0" w:color="auto"/>
        <w:right w:val="none" w:sz="0" w:space="0" w:color="auto"/>
      </w:divBdr>
    </w:div>
    <w:div w:id="2050835970">
      <w:bodyDiv w:val="1"/>
      <w:marLeft w:val="0"/>
      <w:marRight w:val="0"/>
      <w:marTop w:val="0"/>
      <w:marBottom w:val="0"/>
      <w:divBdr>
        <w:top w:val="none" w:sz="0" w:space="0" w:color="auto"/>
        <w:left w:val="none" w:sz="0" w:space="0" w:color="auto"/>
        <w:bottom w:val="none" w:sz="0" w:space="0" w:color="auto"/>
        <w:right w:val="none" w:sz="0" w:space="0" w:color="auto"/>
      </w:divBdr>
    </w:div>
    <w:div w:id="20781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us.google.com/111676215696725066246/p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allianz-global-corporate-&amp;-specialty-agcs-?trk=top_nav_ho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witter.com/AGCS_Insurance" TargetMode="External"/><Relationship Id="rId4" Type="http://schemas.microsoft.com/office/2007/relationships/stylesWithEffects" Target="stylesWithEffects.xml"/><Relationship Id="rId9" Type="http://schemas.openxmlformats.org/officeDocument/2006/relationships/hyperlink" Target="http://www.agcs.allian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55E9-BE77-4694-9B0C-52268C05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10466</Characters>
  <Application>Microsoft Office Word</Application>
  <DocSecurity>4</DocSecurity>
  <Lines>87</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Impact of volatile weather on businesses’ profits is increasing, Allianz report warns</vt:lpstr>
      <vt:lpstr>Impact of volatile weather on businesses’ profits is increasing, Allianz report warns</vt:lpstr>
    </vt:vector>
  </TitlesOfParts>
  <Company>AGCS</Company>
  <LinksUpToDate>false</LinksUpToDate>
  <CharactersWithSpaces>11946</CharactersWithSpaces>
  <SharedDoc>false</SharedDoc>
  <HLinks>
    <vt:vector size="18" baseType="variant">
      <vt:variant>
        <vt:i4>7208977</vt:i4>
      </vt:variant>
      <vt:variant>
        <vt:i4>6</vt:i4>
      </vt:variant>
      <vt:variant>
        <vt:i4>0</vt:i4>
      </vt:variant>
      <vt:variant>
        <vt:i4>5</vt:i4>
      </vt:variant>
      <vt:variant>
        <vt:lpwstr>https://twitter.com/AGCS_Insurance</vt:lpwstr>
      </vt:variant>
      <vt:variant>
        <vt:lpwstr/>
      </vt:variant>
      <vt:variant>
        <vt:i4>131164</vt:i4>
      </vt:variant>
      <vt:variant>
        <vt:i4>3</vt:i4>
      </vt:variant>
      <vt:variant>
        <vt:i4>0</vt:i4>
      </vt:variant>
      <vt:variant>
        <vt:i4>5</vt:i4>
      </vt:variant>
      <vt:variant>
        <vt:lpwstr>http://www.agcs.allianz.com/</vt:lpwstr>
      </vt:variant>
      <vt:variant>
        <vt:lpwstr/>
      </vt:variant>
      <vt:variant>
        <vt:i4>4063355</vt:i4>
      </vt:variant>
      <vt:variant>
        <vt:i4>0</vt:i4>
      </vt:variant>
      <vt:variant>
        <vt:i4>0</vt:i4>
      </vt:variant>
      <vt:variant>
        <vt:i4>5</vt:i4>
      </vt:variant>
      <vt:variant>
        <vt:lpwstr>http://www.agcs.allianz.com/assets/PDFs/Reports/Katrina10years.pdf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volatile weather on businesses’ profits is increasing, Allianz report warns</dc:title>
  <dc:creator>kidstoh</dc:creator>
  <cp:lastModifiedBy>g113257</cp:lastModifiedBy>
  <cp:revision>2</cp:revision>
  <cp:lastPrinted>2016-03-18T12:41:00Z</cp:lastPrinted>
  <dcterms:created xsi:type="dcterms:W3CDTF">2016-03-18T12:42:00Z</dcterms:created>
  <dcterms:modified xsi:type="dcterms:W3CDTF">2016-03-18T12:42:00Z</dcterms:modified>
</cp:coreProperties>
</file>